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B8B" w:rsidRPr="00FD166F" w:rsidRDefault="00021B8B" w:rsidP="00021B8B">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#91</w:t>
      </w:r>
      <w:r>
        <w:rPr>
          <w:rFonts w:ascii="Arial" w:hAnsi="Arial" w:cs="Arial"/>
          <w:b/>
          <w:lang w:val="de-DE"/>
        </w:rPr>
        <w:tab/>
      </w:r>
      <w:r w:rsidRPr="00625E22">
        <w:rPr>
          <w:rFonts w:ascii="Arial" w:hAnsi="Arial" w:cs="Arial"/>
          <w:b/>
          <w:lang w:val="de-DE"/>
        </w:rPr>
        <w:t>R4-1</w:t>
      </w:r>
      <w:r>
        <w:rPr>
          <w:rFonts w:ascii="Arial" w:hAnsi="Arial" w:cs="Arial"/>
          <w:b/>
          <w:lang w:val="de-DE"/>
        </w:rPr>
        <w:t>90</w:t>
      </w:r>
      <w:r w:rsidR="00903265">
        <w:rPr>
          <w:rFonts w:ascii="Arial" w:hAnsi="Arial" w:cs="Arial"/>
          <w:b/>
          <w:lang w:val="de-DE"/>
        </w:rPr>
        <w:t>7177</w:t>
      </w:r>
      <w:r>
        <w:rPr>
          <w:rFonts w:ascii="Arial" w:hAnsi="Arial" w:cs="Arial"/>
          <w:b/>
          <w:lang w:val="de-DE"/>
        </w:rPr>
        <w:br/>
      </w:r>
      <w:r>
        <w:rPr>
          <w:rFonts w:ascii="Arial" w:hAnsi="Arial" w:cs="Arial"/>
          <w:b/>
        </w:rPr>
        <w:t>Reno, USA, May 13 – 17, 2019</w:t>
      </w:r>
    </w:p>
    <w:p w:rsidR="00021B8B" w:rsidRDefault="00021B8B" w:rsidP="00021B8B">
      <w:pPr>
        <w:tabs>
          <w:tab w:val="left" w:pos="2160"/>
        </w:tabs>
        <w:rPr>
          <w:rFonts w:ascii="Arial" w:hAnsi="Arial" w:cs="Arial"/>
          <w:b/>
        </w:rPr>
      </w:pPr>
    </w:p>
    <w:p w:rsidR="00021B8B" w:rsidRPr="0008103A" w:rsidRDefault="00021B8B" w:rsidP="00021B8B">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Pr="00D428D1">
        <w:rPr>
          <w:rFonts w:ascii="Arial" w:hAnsi="Arial" w:cs="Arial"/>
          <w:b/>
        </w:rPr>
        <w:t>6.</w:t>
      </w:r>
      <w:r>
        <w:rPr>
          <w:rFonts w:ascii="Arial" w:hAnsi="Arial" w:cs="Arial"/>
          <w:b/>
        </w:rPr>
        <w:t>5</w:t>
      </w:r>
      <w:r w:rsidRPr="00D428D1">
        <w:rPr>
          <w:rFonts w:ascii="Arial" w:hAnsi="Arial" w:cs="Arial"/>
          <w:b/>
        </w:rPr>
        <w:t>.</w:t>
      </w:r>
      <w:r>
        <w:rPr>
          <w:rFonts w:ascii="Arial" w:hAnsi="Arial" w:cs="Arial"/>
          <w:b/>
        </w:rPr>
        <w:t>9.3</w:t>
      </w:r>
    </w:p>
    <w:p w:rsidR="00021B8B" w:rsidRPr="0008103A" w:rsidRDefault="00021B8B" w:rsidP="00021B8B">
      <w:pPr>
        <w:tabs>
          <w:tab w:val="left" w:pos="2160"/>
        </w:tabs>
        <w:rPr>
          <w:rFonts w:ascii="Arial" w:hAnsi="Arial" w:cs="Arial"/>
          <w:b/>
        </w:rPr>
      </w:pPr>
      <w:r>
        <w:rPr>
          <w:rFonts w:ascii="Arial" w:hAnsi="Arial" w:cs="Arial"/>
          <w:b/>
        </w:rPr>
        <w:t>Source:</w:t>
      </w:r>
      <w:r>
        <w:rPr>
          <w:rFonts w:ascii="Arial" w:hAnsi="Arial" w:cs="Arial"/>
          <w:b/>
        </w:rPr>
        <w:tab/>
        <w:t>Intel Corporation</w:t>
      </w:r>
    </w:p>
    <w:p w:rsidR="00021B8B" w:rsidRDefault="00021B8B" w:rsidP="00021B8B">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BE0946">
        <w:rPr>
          <w:rFonts w:ascii="Arial" w:hAnsi="Arial" w:cs="Arial"/>
          <w:b/>
        </w:rPr>
        <w:t>FR2 Power classes and UE types</w:t>
      </w:r>
    </w:p>
    <w:p w:rsidR="00021B8B" w:rsidRPr="0008103A" w:rsidRDefault="00021B8B" w:rsidP="00021B8B">
      <w:pPr>
        <w:tabs>
          <w:tab w:val="left" w:pos="2160"/>
        </w:tabs>
        <w:rPr>
          <w:rFonts w:ascii="Arial" w:hAnsi="Arial" w:cs="Arial"/>
          <w:b/>
        </w:rPr>
      </w:pPr>
      <w:r>
        <w:rPr>
          <w:rFonts w:ascii="Arial" w:hAnsi="Arial" w:cs="Arial"/>
          <w:b/>
        </w:rPr>
        <w:t>Document for:</w:t>
      </w:r>
      <w:r>
        <w:rPr>
          <w:rFonts w:ascii="Arial" w:hAnsi="Arial" w:cs="Arial"/>
          <w:b/>
        </w:rPr>
        <w:tab/>
        <w:t>Discussion</w:t>
      </w:r>
    </w:p>
    <w:p w:rsidR="00021B8B" w:rsidRPr="007E5C9D" w:rsidRDefault="00021B8B" w:rsidP="00021B8B">
      <w:pPr>
        <w:pStyle w:val="Heading1"/>
        <w:rPr>
          <w:lang w:val="en-US"/>
        </w:rPr>
      </w:pPr>
      <w:r w:rsidRPr="007E5C9D">
        <w:rPr>
          <w:lang w:val="en-US"/>
        </w:rPr>
        <w:t>Introduction</w:t>
      </w:r>
    </w:p>
    <w:p w:rsidR="00951093" w:rsidRDefault="00951093" w:rsidP="00844CF4">
      <w:pPr>
        <w:rPr>
          <w:sz w:val="20"/>
          <w:szCs w:val="20"/>
        </w:rPr>
      </w:pPr>
      <w:r>
        <w:rPr>
          <w:sz w:val="20"/>
          <w:szCs w:val="20"/>
        </w:rPr>
        <w:t xml:space="preserve">Power class discussions in FR2 first focused only on handheld devices. Then, fixed wireless access (FWA) devices were </w:t>
      </w:r>
      <w:r w:rsidR="008D2E15">
        <w:rPr>
          <w:sz w:val="20"/>
          <w:szCs w:val="20"/>
        </w:rPr>
        <w:t>addre</w:t>
      </w:r>
      <w:r>
        <w:rPr>
          <w:sz w:val="20"/>
          <w:szCs w:val="20"/>
        </w:rPr>
        <w:t xml:space="preserve">ssed and agreed to be further analyzed [1]. It was clear that the expected performance from FWA devices was different than </w:t>
      </w:r>
      <w:r w:rsidR="008D2E15">
        <w:rPr>
          <w:sz w:val="20"/>
          <w:szCs w:val="20"/>
        </w:rPr>
        <w:t xml:space="preserve">that of </w:t>
      </w:r>
      <w:r>
        <w:rPr>
          <w:sz w:val="20"/>
          <w:szCs w:val="20"/>
        </w:rPr>
        <w:t>handheld devices, for both minimum peak EIRP and spherical coverage [2-3].</w:t>
      </w:r>
    </w:p>
    <w:p w:rsidR="00951093" w:rsidRDefault="00951093" w:rsidP="00844CF4">
      <w:pPr>
        <w:rPr>
          <w:sz w:val="20"/>
          <w:szCs w:val="20"/>
        </w:rPr>
      </w:pPr>
    </w:p>
    <w:p w:rsidR="00951093" w:rsidRDefault="004A3EAA" w:rsidP="00844CF4">
      <w:pPr>
        <w:rPr>
          <w:sz w:val="20"/>
          <w:szCs w:val="20"/>
        </w:rPr>
      </w:pPr>
      <w:r>
        <w:rPr>
          <w:sz w:val="20"/>
          <w:szCs w:val="20"/>
        </w:rPr>
        <w:t>Later</w:t>
      </w:r>
      <w:r w:rsidR="00951093">
        <w:rPr>
          <w:sz w:val="20"/>
          <w:szCs w:val="20"/>
        </w:rPr>
        <w:t xml:space="preserve">, </w:t>
      </w:r>
      <w:r w:rsidR="00E60561">
        <w:rPr>
          <w:sz w:val="20"/>
          <w:szCs w:val="20"/>
        </w:rPr>
        <w:t xml:space="preserve">during the </w:t>
      </w:r>
      <w:r w:rsidR="00951093">
        <w:rPr>
          <w:sz w:val="20"/>
          <w:szCs w:val="20"/>
        </w:rPr>
        <w:t>RAN4 #86bis</w:t>
      </w:r>
      <w:r w:rsidR="00E60561">
        <w:rPr>
          <w:sz w:val="20"/>
          <w:szCs w:val="20"/>
        </w:rPr>
        <w:t xml:space="preserve"> meeting</w:t>
      </w:r>
      <w:r w:rsidR="00951093">
        <w:rPr>
          <w:sz w:val="20"/>
          <w:szCs w:val="20"/>
        </w:rPr>
        <w:t xml:space="preserve">, companies expressed interest in other UE types </w:t>
      </w:r>
      <w:r w:rsidR="005C5BFE">
        <w:rPr>
          <w:sz w:val="20"/>
          <w:szCs w:val="20"/>
        </w:rPr>
        <w:t xml:space="preserve">that had </w:t>
      </w:r>
      <w:r w:rsidR="00951093">
        <w:rPr>
          <w:sz w:val="20"/>
          <w:szCs w:val="20"/>
        </w:rPr>
        <w:t>not yet</w:t>
      </w:r>
      <w:r w:rsidR="005C5BFE">
        <w:rPr>
          <w:sz w:val="20"/>
          <w:szCs w:val="20"/>
        </w:rPr>
        <w:t xml:space="preserve"> been</w:t>
      </w:r>
      <w:r w:rsidR="00951093">
        <w:rPr>
          <w:sz w:val="20"/>
          <w:szCs w:val="20"/>
        </w:rPr>
        <w:t xml:space="preserve"> discussed</w:t>
      </w:r>
      <w:r w:rsidR="005C5BFE">
        <w:rPr>
          <w:sz w:val="20"/>
          <w:szCs w:val="20"/>
        </w:rPr>
        <w:t xml:space="preserve">. </w:t>
      </w:r>
      <w:r w:rsidR="00E60561">
        <w:rPr>
          <w:sz w:val="20"/>
          <w:szCs w:val="20"/>
        </w:rPr>
        <w:t xml:space="preserve">In offline discussions and </w:t>
      </w:r>
      <w:r w:rsidR="005C5BFE">
        <w:rPr>
          <w:sz w:val="20"/>
          <w:szCs w:val="20"/>
        </w:rPr>
        <w:t xml:space="preserve">an ad hoc session, we compiled the expected performance for each </w:t>
      </w:r>
      <w:r>
        <w:rPr>
          <w:sz w:val="20"/>
          <w:szCs w:val="20"/>
        </w:rPr>
        <w:t xml:space="preserve">of the </w:t>
      </w:r>
      <w:r w:rsidR="005C5BFE">
        <w:rPr>
          <w:sz w:val="20"/>
          <w:szCs w:val="20"/>
        </w:rPr>
        <w:t>UE type</w:t>
      </w:r>
      <w:r>
        <w:rPr>
          <w:sz w:val="20"/>
          <w:szCs w:val="20"/>
        </w:rPr>
        <w:t>s</w:t>
      </w:r>
      <w:r w:rsidR="005C5BFE">
        <w:rPr>
          <w:sz w:val="20"/>
          <w:szCs w:val="20"/>
        </w:rPr>
        <w:t xml:space="preserve">. At the time, </w:t>
      </w:r>
      <w:r w:rsidR="00E60561">
        <w:rPr>
          <w:sz w:val="20"/>
          <w:szCs w:val="20"/>
        </w:rPr>
        <w:t>the idea was</w:t>
      </w:r>
      <w:r w:rsidR="005C5BFE">
        <w:rPr>
          <w:sz w:val="20"/>
          <w:szCs w:val="20"/>
        </w:rPr>
        <w:t xml:space="preserve"> to figure out if we could distinguish between the types </w:t>
      </w:r>
      <w:r w:rsidR="00AC50BB">
        <w:rPr>
          <w:sz w:val="20"/>
          <w:szCs w:val="20"/>
        </w:rPr>
        <w:t xml:space="preserve">we had based on expected performance, </w:t>
      </w:r>
      <w:r w:rsidR="009229CC">
        <w:rPr>
          <w:sz w:val="20"/>
          <w:szCs w:val="20"/>
        </w:rPr>
        <w:t>and then determine the best way to divide power classes</w:t>
      </w:r>
      <w:r w:rsidR="005C5BFE">
        <w:rPr>
          <w:sz w:val="20"/>
          <w:szCs w:val="20"/>
        </w:rPr>
        <w:t>. In the approved Way Forward [</w:t>
      </w:r>
      <w:r w:rsidR="00783551">
        <w:rPr>
          <w:sz w:val="20"/>
          <w:szCs w:val="20"/>
        </w:rPr>
        <w:t>4</w:t>
      </w:r>
      <w:r w:rsidR="005C5BFE">
        <w:rPr>
          <w:sz w:val="20"/>
          <w:szCs w:val="20"/>
        </w:rPr>
        <w:t xml:space="preserve">], there is a table summarizing the UE types and expected </w:t>
      </w:r>
      <w:r w:rsidR="00E60561">
        <w:rPr>
          <w:sz w:val="20"/>
          <w:szCs w:val="20"/>
        </w:rPr>
        <w:t xml:space="preserve">performance for the power </w:t>
      </w:r>
      <w:r w:rsidR="005C5BFE">
        <w:rPr>
          <w:sz w:val="20"/>
          <w:szCs w:val="20"/>
        </w:rPr>
        <w:t xml:space="preserve">parameters. This table is found below: </w:t>
      </w:r>
    </w:p>
    <w:p w:rsidR="00021B8B" w:rsidRDefault="00021B8B" w:rsidP="004A3EAA">
      <w:pPr>
        <w:rPr>
          <w:sz w:val="20"/>
          <w:szCs w:val="20"/>
        </w:rPr>
      </w:pPr>
      <w:r w:rsidRPr="00021B8B">
        <w:rPr>
          <w:sz w:val="20"/>
          <w:szCs w:val="20"/>
        </w:rPr>
        <w:tab/>
      </w:r>
    </w:p>
    <w:p w:rsidR="00021B8B" w:rsidRDefault="00021B8B" w:rsidP="00021B8B">
      <w:r>
        <w:rPr>
          <w:noProof/>
        </w:rPr>
        <mc:AlternateContent>
          <mc:Choice Requires="wps">
            <w:drawing>
              <wp:inline distT="0" distB="0" distL="0" distR="0" wp14:anchorId="4C6ACE4F" wp14:editId="38799839">
                <wp:extent cx="6120765" cy="1632857"/>
                <wp:effectExtent l="0" t="0" r="19685" b="24765"/>
                <wp:docPr id="1" name="Text Box 1"/>
                <wp:cNvGraphicFramePr/>
                <a:graphic xmlns:a="http://schemas.openxmlformats.org/drawingml/2006/main">
                  <a:graphicData uri="http://schemas.microsoft.com/office/word/2010/wordprocessingShape">
                    <wps:wsp>
                      <wps:cNvSpPr txBox="1"/>
                      <wps:spPr>
                        <a:xfrm>
                          <a:off x="0" y="0"/>
                          <a:ext cx="6120765" cy="1632857"/>
                        </a:xfrm>
                        <a:prstGeom prst="rect">
                          <a:avLst/>
                        </a:prstGeom>
                        <a:noFill/>
                        <a:ln w="6350">
                          <a:solidFill>
                            <a:prstClr val="black"/>
                          </a:solidFill>
                        </a:ln>
                      </wps:spPr>
                      <wps:txbx>
                        <w:txbxContent>
                          <w:p w:rsidR="008D2E15" w:rsidRPr="00C06E7D" w:rsidRDefault="008D2E15" w:rsidP="00951093">
                            <w:pPr>
                              <w:tabs>
                                <w:tab w:val="left" w:pos="6924"/>
                              </w:tabs>
                              <w:spacing w:after="120"/>
                              <w:rPr>
                                <w:rFonts w:ascii="Arial" w:hAnsi="Arial" w:cs="Arial"/>
                                <w:sz w:val="20"/>
                                <w:szCs w:val="22"/>
                                <w:lang w:eastAsia="ko-KR"/>
                              </w:rPr>
                            </w:pPr>
                            <w:r>
                              <w:rPr>
                                <w:rFonts w:ascii="Arial" w:hAnsi="Arial" w:cs="Arial"/>
                                <w:noProof/>
                                <w:sz w:val="20"/>
                                <w:szCs w:val="22"/>
                              </w:rPr>
                              <w:drawing>
                                <wp:inline distT="0" distB="0" distL="0" distR="0">
                                  <wp:extent cx="56875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7568" cy="1536192"/>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6ACE4F" id="_x0000_t202" coordsize="21600,21600" o:spt="202" path="m,l,21600r21600,l21600,xe">
                <v:stroke joinstyle="miter"/>
                <v:path gradientshapeok="t" o:connecttype="rect"/>
              </v:shapetype>
              <v:shape id="Text Box 1" o:spid="_x0000_s1026" type="#_x0000_t202" style="width:481.95pt;height:128.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" filled="f" strokeweight=".5pt">
                <v:textbox>
                  <w:txbxContent>
                    <w:p w:rsidR="008D2E15" w:rsidRPr="00C06E7D" w:rsidRDefault="008D2E15" w:rsidP="00951093">
                      <w:pPr>
                        <w:tabs>
                          <w:tab w:val="left" w:pos="6924"/>
                        </w:tabs>
                        <w:spacing w:after="120"/>
                        <w:rPr>
                          <w:rFonts w:ascii="Arial" w:hAnsi="Arial" w:cs="Arial"/>
                          <w:sz w:val="20"/>
                          <w:szCs w:val="22"/>
                          <w:lang w:eastAsia="ko-KR"/>
                        </w:rPr>
                      </w:pPr>
                      <w:r>
                        <w:rPr>
                          <w:rFonts w:ascii="Arial" w:hAnsi="Arial" w:cs="Arial"/>
                          <w:noProof/>
                          <w:sz w:val="20"/>
                          <w:szCs w:val="22"/>
                        </w:rPr>
                        <w:drawing>
                          <wp:inline distT="0" distB="0" distL="0" distR="0">
                            <wp:extent cx="56875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7568" cy="1536192"/>
                                    </a:xfrm>
                                    <a:prstGeom prst="rect">
                                      <a:avLst/>
                                    </a:prstGeom>
                                    <a:noFill/>
                                    <a:ln>
                                      <a:noFill/>
                                    </a:ln>
                                  </pic:spPr>
                                </pic:pic>
                              </a:graphicData>
                            </a:graphic>
                          </wp:inline>
                        </w:drawing>
                      </w:r>
                    </w:p>
                  </w:txbxContent>
                </v:textbox>
                <w10:anchorlock/>
              </v:shape>
            </w:pict>
          </mc:Fallback>
        </mc:AlternateContent>
      </w:r>
    </w:p>
    <w:p w:rsidR="00021B8B" w:rsidRPr="008B61BA" w:rsidRDefault="00021B8B" w:rsidP="00021B8B">
      <w:pPr>
        <w:rPr>
          <w:sz w:val="20"/>
          <w:szCs w:val="20"/>
        </w:rPr>
      </w:pPr>
    </w:p>
    <w:p w:rsidR="005E2907" w:rsidRDefault="005C5BFE" w:rsidP="005E2907">
      <w:pPr>
        <w:rPr>
          <w:sz w:val="20"/>
          <w:szCs w:val="20"/>
        </w:rPr>
      </w:pPr>
      <w:r>
        <w:rPr>
          <w:sz w:val="20"/>
          <w:szCs w:val="20"/>
        </w:rPr>
        <w:t>It is important to highlight that the Comments column in the table</w:t>
      </w:r>
      <w:r w:rsidR="000D2F62">
        <w:rPr>
          <w:sz w:val="20"/>
          <w:szCs w:val="20"/>
        </w:rPr>
        <w:t xml:space="preserve"> above</w:t>
      </w:r>
      <w:r>
        <w:rPr>
          <w:sz w:val="20"/>
          <w:szCs w:val="20"/>
        </w:rPr>
        <w:t xml:space="preserve"> has a note clearly stati</w:t>
      </w:r>
      <w:r w:rsidR="004A3EAA">
        <w:rPr>
          <w:sz w:val="20"/>
          <w:szCs w:val="20"/>
        </w:rPr>
        <w:t>ng that the description</w:t>
      </w:r>
      <w:r>
        <w:rPr>
          <w:sz w:val="20"/>
          <w:szCs w:val="20"/>
        </w:rPr>
        <w:t xml:space="preserve"> in th</w:t>
      </w:r>
      <w:r w:rsidR="00025AE6">
        <w:rPr>
          <w:sz w:val="20"/>
          <w:szCs w:val="20"/>
        </w:rPr>
        <w:t>e</w:t>
      </w:r>
      <w:r>
        <w:rPr>
          <w:sz w:val="20"/>
          <w:szCs w:val="20"/>
        </w:rPr>
        <w:t xml:space="preserve"> column was only meant to </w:t>
      </w:r>
      <w:r w:rsidR="00025AE6">
        <w:rPr>
          <w:sz w:val="20"/>
          <w:szCs w:val="20"/>
        </w:rPr>
        <w:t>provide context for the example</w:t>
      </w:r>
      <w:r w:rsidR="00AC50BB">
        <w:rPr>
          <w:sz w:val="20"/>
          <w:szCs w:val="20"/>
        </w:rPr>
        <w:t>s</w:t>
      </w:r>
      <w:r w:rsidR="00025AE6">
        <w:rPr>
          <w:sz w:val="20"/>
          <w:szCs w:val="20"/>
        </w:rPr>
        <w:t xml:space="preserve"> used</w:t>
      </w:r>
      <w:r>
        <w:rPr>
          <w:sz w:val="20"/>
          <w:szCs w:val="20"/>
        </w:rPr>
        <w:t xml:space="preserve"> and should not preclude other </w:t>
      </w:r>
      <w:r w:rsidR="004A3EAA">
        <w:rPr>
          <w:sz w:val="20"/>
          <w:szCs w:val="20"/>
        </w:rPr>
        <w:t xml:space="preserve">UE </w:t>
      </w:r>
      <w:r>
        <w:rPr>
          <w:sz w:val="20"/>
          <w:szCs w:val="20"/>
        </w:rPr>
        <w:t>types from being included.</w:t>
      </w:r>
      <w:r w:rsidR="005E2907">
        <w:rPr>
          <w:sz w:val="20"/>
          <w:szCs w:val="20"/>
        </w:rPr>
        <w:t xml:space="preserve"> Moving forward, these were the assumptions used to derive the </w:t>
      </w:r>
      <w:r w:rsidR="000D2F62">
        <w:rPr>
          <w:sz w:val="20"/>
          <w:szCs w:val="20"/>
        </w:rPr>
        <w:t xml:space="preserve">requirements of the </w:t>
      </w:r>
      <w:r w:rsidR="005E2907">
        <w:rPr>
          <w:sz w:val="20"/>
          <w:szCs w:val="20"/>
        </w:rPr>
        <w:t xml:space="preserve">four </w:t>
      </w:r>
      <w:r w:rsidR="000D2F62">
        <w:rPr>
          <w:sz w:val="20"/>
          <w:szCs w:val="20"/>
        </w:rPr>
        <w:t xml:space="preserve">FR2 </w:t>
      </w:r>
      <w:r w:rsidR="005E2907">
        <w:rPr>
          <w:sz w:val="20"/>
          <w:szCs w:val="20"/>
        </w:rPr>
        <w:t>power classes we have today.</w:t>
      </w:r>
    </w:p>
    <w:p w:rsidR="005E2907" w:rsidRDefault="005E2907" w:rsidP="005E2907">
      <w:pPr>
        <w:rPr>
          <w:sz w:val="20"/>
          <w:szCs w:val="20"/>
        </w:rPr>
      </w:pPr>
    </w:p>
    <w:p w:rsidR="005E2907" w:rsidRDefault="005E2907" w:rsidP="005E2907">
      <w:pPr>
        <w:rPr>
          <w:sz w:val="20"/>
          <w:szCs w:val="20"/>
        </w:rPr>
      </w:pPr>
      <w:r>
        <w:rPr>
          <w:sz w:val="20"/>
          <w:szCs w:val="20"/>
        </w:rPr>
        <w:t xml:space="preserve">As the requirements </w:t>
      </w:r>
      <w:r w:rsidR="004A3EAA">
        <w:rPr>
          <w:sz w:val="20"/>
          <w:szCs w:val="20"/>
        </w:rPr>
        <w:t>for</w:t>
      </w:r>
      <w:r>
        <w:rPr>
          <w:sz w:val="20"/>
          <w:szCs w:val="20"/>
        </w:rPr>
        <w:t xml:space="preserve"> the four power classes were approved, it was difficult to refer to them by their power class number, since the number does not provide any insights on what performance to expect or the assumptions used to derive the requirements. Thus, it was then agreed to introduce background information on how the power classes were derived, including the UE type, into TR 38.817-01 [</w:t>
      </w:r>
      <w:r w:rsidR="00783551">
        <w:rPr>
          <w:sz w:val="20"/>
          <w:szCs w:val="20"/>
        </w:rPr>
        <w:t>5</w:t>
      </w:r>
      <w:r>
        <w:rPr>
          <w:sz w:val="20"/>
          <w:szCs w:val="20"/>
        </w:rPr>
        <w:t>]. Shortly af</w:t>
      </w:r>
      <w:r w:rsidR="00DB3B57">
        <w:rPr>
          <w:sz w:val="20"/>
          <w:szCs w:val="20"/>
        </w:rPr>
        <w:t xml:space="preserve">ter, the UE type table was </w:t>
      </w:r>
      <w:r>
        <w:rPr>
          <w:sz w:val="20"/>
          <w:szCs w:val="20"/>
        </w:rPr>
        <w:t>added to TS 38.101-2 [</w:t>
      </w:r>
      <w:r w:rsidR="00783551">
        <w:rPr>
          <w:sz w:val="20"/>
          <w:szCs w:val="20"/>
        </w:rPr>
        <w:t>6</w:t>
      </w:r>
      <w:r>
        <w:rPr>
          <w:sz w:val="20"/>
          <w:szCs w:val="20"/>
        </w:rPr>
        <w:t>]</w:t>
      </w:r>
      <w:r w:rsidR="000D2F62">
        <w:rPr>
          <w:sz w:val="20"/>
          <w:szCs w:val="20"/>
        </w:rPr>
        <w:t>.</w:t>
      </w:r>
    </w:p>
    <w:p w:rsidR="005E2907" w:rsidRDefault="005E2907" w:rsidP="00DB3B57">
      <w:pPr>
        <w:rPr>
          <w:sz w:val="20"/>
          <w:szCs w:val="20"/>
        </w:rPr>
      </w:pPr>
    </w:p>
    <w:p w:rsidR="00021B8B" w:rsidRDefault="00021B8B" w:rsidP="00DB3B57">
      <w:pPr>
        <w:rPr>
          <w:sz w:val="20"/>
          <w:szCs w:val="20"/>
        </w:rPr>
      </w:pPr>
      <w:r>
        <w:rPr>
          <w:noProof/>
        </w:rPr>
        <mc:AlternateContent>
          <mc:Choice Requires="wps">
            <w:drawing>
              <wp:inline distT="0" distB="0" distL="0" distR="0" wp14:anchorId="2BD18F49" wp14:editId="2172AF6D">
                <wp:extent cx="6139543" cy="1036864"/>
                <wp:effectExtent l="0" t="0" r="13970" b="11430"/>
                <wp:docPr id="4" name="Text Box 4"/>
                <wp:cNvGraphicFramePr/>
                <a:graphic xmlns:a="http://schemas.openxmlformats.org/drawingml/2006/main">
                  <a:graphicData uri="http://schemas.microsoft.com/office/word/2010/wordprocessingShape">
                    <wps:wsp>
                      <wps:cNvSpPr txBox="1"/>
                      <wps:spPr>
                        <a:xfrm>
                          <a:off x="0" y="0"/>
                          <a:ext cx="6139543" cy="1036864"/>
                        </a:xfrm>
                        <a:prstGeom prst="rect">
                          <a:avLst/>
                        </a:prstGeom>
                        <a:noFill/>
                        <a:ln w="6350">
                          <a:solidFill>
                            <a:prstClr val="black"/>
                          </a:solidFill>
                        </a:ln>
                      </wps:spPr>
                      <wps:txbx>
                        <w:txbxContent>
                          <w:p w:rsidR="008D2E15" w:rsidRPr="00617B38" w:rsidRDefault="008D2E15" w:rsidP="00DB3B57">
                            <w:pPr>
                              <w:pStyle w:val="TH"/>
                              <w:spacing w:before="20" w:after="120"/>
                            </w:pPr>
                            <w:r w:rsidRPr="00617B38">
                              <w:rPr>
                                <w:rStyle w:val="msoins0"/>
                              </w:rPr>
                              <w:t>Table 6.2.1.0-1: Assumption of</w:t>
                            </w:r>
                            <w:r w:rsidRPr="00617B38">
                              <w:t> </w:t>
                            </w:r>
                            <w:r w:rsidRPr="00617B3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D2E15" w:rsidRPr="00617B38" w:rsidTr="008D2E15">
                              <w:trPr>
                                <w:trHeight w:val="70"/>
                                <w:jc w:val="center"/>
                              </w:trPr>
                              <w:tc>
                                <w:tcPr>
                                  <w:tcW w:w="2094" w:type="dxa"/>
                                  <w:tcMar>
                                    <w:top w:w="0" w:type="dxa"/>
                                    <w:left w:w="108" w:type="dxa"/>
                                    <w:bottom w:w="0" w:type="dxa"/>
                                    <w:right w:w="108" w:type="dxa"/>
                                  </w:tcMar>
                                  <w:hideMark/>
                                </w:tcPr>
                                <w:p w:rsidR="008D2E15" w:rsidRPr="00617B38" w:rsidRDefault="008D2E15" w:rsidP="00F81999">
                                  <w:pPr>
                                    <w:pStyle w:val="TAH"/>
                                  </w:pPr>
                                  <w:r w:rsidRPr="00617B38">
                                    <w:t>UE Power class</w:t>
                                  </w:r>
                                </w:p>
                              </w:tc>
                              <w:tc>
                                <w:tcPr>
                                  <w:tcW w:w="4765" w:type="dxa"/>
                                  <w:tcMar>
                                    <w:top w:w="0" w:type="dxa"/>
                                    <w:left w:w="108" w:type="dxa"/>
                                    <w:bottom w:w="0" w:type="dxa"/>
                                    <w:right w:w="108" w:type="dxa"/>
                                  </w:tcMar>
                                  <w:hideMark/>
                                </w:tcPr>
                                <w:p w:rsidR="008D2E15" w:rsidRPr="00617B38" w:rsidRDefault="008D2E15" w:rsidP="00F81999">
                                  <w:pPr>
                                    <w:pStyle w:val="TAH"/>
                                  </w:pPr>
                                  <w:r w:rsidRPr="00617B38">
                                    <w:t>UE type</w:t>
                                  </w:r>
                                </w:p>
                              </w:tc>
                            </w:tr>
                            <w:tr w:rsidR="008D2E15" w:rsidRPr="00617B38" w:rsidTr="008D2E15">
                              <w:trPr>
                                <w:trHeight w:val="62"/>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1</w:t>
                                  </w:r>
                                </w:p>
                              </w:tc>
                              <w:tc>
                                <w:tcPr>
                                  <w:tcW w:w="4765" w:type="dxa"/>
                                  <w:tcMar>
                                    <w:top w:w="0" w:type="dxa"/>
                                    <w:left w:w="108" w:type="dxa"/>
                                    <w:bottom w:w="0" w:type="dxa"/>
                                    <w:right w:w="108" w:type="dxa"/>
                                  </w:tcMar>
                                  <w:hideMark/>
                                </w:tcPr>
                                <w:p w:rsidR="008D2E15" w:rsidRPr="00617B38" w:rsidRDefault="008D2E15" w:rsidP="00F81999">
                                  <w:pPr>
                                    <w:pStyle w:val="TAC"/>
                                  </w:pPr>
                                  <w:r w:rsidRPr="00617B38">
                                    <w:t>Fixed wireless access(FWA) UE</w:t>
                                  </w:r>
                                </w:p>
                              </w:tc>
                            </w:tr>
                            <w:tr w:rsidR="008D2E15" w:rsidRPr="00617B38" w:rsidTr="008D2E15">
                              <w:trPr>
                                <w:trHeight w:val="4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2</w:t>
                                  </w:r>
                                </w:p>
                              </w:tc>
                              <w:tc>
                                <w:tcPr>
                                  <w:tcW w:w="4765" w:type="dxa"/>
                                  <w:tcMar>
                                    <w:top w:w="0" w:type="dxa"/>
                                    <w:left w:w="108" w:type="dxa"/>
                                    <w:bottom w:w="0" w:type="dxa"/>
                                    <w:right w:w="108" w:type="dxa"/>
                                  </w:tcMar>
                                  <w:hideMark/>
                                </w:tcPr>
                                <w:p w:rsidR="008D2E15" w:rsidRPr="00617B38" w:rsidRDefault="008D2E15" w:rsidP="00F81999">
                                  <w:pPr>
                                    <w:pStyle w:val="TAC"/>
                                  </w:pPr>
                                  <w:r w:rsidRPr="00617B38">
                                    <w:t>Vehicular UE</w:t>
                                  </w:r>
                                </w:p>
                              </w:tc>
                            </w:tr>
                            <w:tr w:rsidR="008D2E15" w:rsidRPr="00617B38" w:rsidTr="008D2E15">
                              <w:trPr>
                                <w:trHeight w:val="4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3</w:t>
                                  </w:r>
                                </w:p>
                              </w:tc>
                              <w:tc>
                                <w:tcPr>
                                  <w:tcW w:w="4765" w:type="dxa"/>
                                  <w:tcMar>
                                    <w:top w:w="0" w:type="dxa"/>
                                    <w:left w:w="108" w:type="dxa"/>
                                    <w:bottom w:w="0" w:type="dxa"/>
                                    <w:right w:w="108" w:type="dxa"/>
                                  </w:tcMar>
                                  <w:hideMark/>
                                </w:tcPr>
                                <w:p w:rsidR="008D2E15" w:rsidRPr="00617B38" w:rsidRDefault="008D2E15" w:rsidP="00F81999">
                                  <w:pPr>
                                    <w:pStyle w:val="TAC"/>
                                  </w:pPr>
                                  <w:r w:rsidRPr="00617B38">
                                    <w:t>Handheld UE</w:t>
                                  </w:r>
                                </w:p>
                              </w:tc>
                            </w:tr>
                            <w:tr w:rsidR="008D2E15" w:rsidRPr="00617B38" w:rsidTr="008D2E15">
                              <w:trPr>
                                <w:trHeight w:val="7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4</w:t>
                                  </w:r>
                                </w:p>
                              </w:tc>
                              <w:tc>
                                <w:tcPr>
                                  <w:tcW w:w="4765" w:type="dxa"/>
                                  <w:tcMar>
                                    <w:top w:w="0" w:type="dxa"/>
                                    <w:left w:w="108" w:type="dxa"/>
                                    <w:bottom w:w="0" w:type="dxa"/>
                                    <w:right w:w="108" w:type="dxa"/>
                                  </w:tcMar>
                                  <w:hideMark/>
                                </w:tcPr>
                                <w:p w:rsidR="008D2E15" w:rsidRPr="00617B38" w:rsidRDefault="008D2E15" w:rsidP="00F81999">
                                  <w:pPr>
                                    <w:pStyle w:val="TAC"/>
                                  </w:pPr>
                                  <w:r w:rsidRPr="00617B38">
                                    <w:t>High power non-handheld UE</w:t>
                                  </w:r>
                                </w:p>
                              </w:tc>
                            </w:tr>
                          </w:tbl>
                          <w:p w:rsidR="008D2E15" w:rsidRDefault="008D2E15" w:rsidP="00021B8B">
                            <w:pPr>
                              <w:tabs>
                                <w:tab w:val="left" w:pos="709"/>
                              </w:tabs>
                              <w:overflowPunct w:val="0"/>
                              <w:autoSpaceDE w:val="0"/>
                              <w:autoSpaceDN w:val="0"/>
                              <w:adjustRightInd w:val="0"/>
                              <w:ind w:left="720" w:hanging="720"/>
                              <w:jc w:val="center"/>
                              <w:textAlignment w:val="baseline"/>
                              <w:rPr>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D18F49" id="Text Box 4" o:spid="_x0000_s1027" type="#_x0000_t202" style="width:483.45pt;height:8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" filled="f" strokeweight=".5pt">
                <v:textbox>
                  <w:txbxContent>
                    <w:p w:rsidR="008D2E15" w:rsidRPr="00617B38" w:rsidRDefault="008D2E15" w:rsidP="00DB3B57">
                      <w:pPr>
                        <w:pStyle w:val="TH"/>
                        <w:spacing w:before="20" w:after="120"/>
                      </w:pPr>
                      <w:r w:rsidRPr="00617B38">
                        <w:rPr>
                          <w:rStyle w:val="msoins0"/>
                        </w:rPr>
                        <w:t>Table 6.2.1.0-1: Assumption of</w:t>
                      </w:r>
                      <w:r w:rsidRPr="00617B38">
                        <w:t> </w:t>
                      </w:r>
                      <w:r w:rsidRPr="00617B3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D2E15" w:rsidRPr="00617B38" w:rsidTr="008D2E15">
                        <w:trPr>
                          <w:trHeight w:val="70"/>
                          <w:jc w:val="center"/>
                        </w:trPr>
                        <w:tc>
                          <w:tcPr>
                            <w:tcW w:w="2094" w:type="dxa"/>
                            <w:tcMar>
                              <w:top w:w="0" w:type="dxa"/>
                              <w:left w:w="108" w:type="dxa"/>
                              <w:bottom w:w="0" w:type="dxa"/>
                              <w:right w:w="108" w:type="dxa"/>
                            </w:tcMar>
                            <w:hideMark/>
                          </w:tcPr>
                          <w:p w:rsidR="008D2E15" w:rsidRPr="00617B38" w:rsidRDefault="008D2E15" w:rsidP="00F81999">
                            <w:pPr>
                              <w:pStyle w:val="TAH"/>
                            </w:pPr>
                            <w:r w:rsidRPr="00617B38">
                              <w:t>UE Power class</w:t>
                            </w:r>
                          </w:p>
                        </w:tc>
                        <w:tc>
                          <w:tcPr>
                            <w:tcW w:w="4765" w:type="dxa"/>
                            <w:tcMar>
                              <w:top w:w="0" w:type="dxa"/>
                              <w:left w:w="108" w:type="dxa"/>
                              <w:bottom w:w="0" w:type="dxa"/>
                              <w:right w:w="108" w:type="dxa"/>
                            </w:tcMar>
                            <w:hideMark/>
                          </w:tcPr>
                          <w:p w:rsidR="008D2E15" w:rsidRPr="00617B38" w:rsidRDefault="008D2E15" w:rsidP="00F81999">
                            <w:pPr>
                              <w:pStyle w:val="TAH"/>
                            </w:pPr>
                            <w:r w:rsidRPr="00617B38">
                              <w:t>UE type</w:t>
                            </w:r>
                          </w:p>
                        </w:tc>
                      </w:tr>
                      <w:tr w:rsidR="008D2E15" w:rsidRPr="00617B38" w:rsidTr="008D2E15">
                        <w:trPr>
                          <w:trHeight w:val="62"/>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1</w:t>
                            </w:r>
                          </w:p>
                        </w:tc>
                        <w:tc>
                          <w:tcPr>
                            <w:tcW w:w="4765" w:type="dxa"/>
                            <w:tcMar>
                              <w:top w:w="0" w:type="dxa"/>
                              <w:left w:w="108" w:type="dxa"/>
                              <w:bottom w:w="0" w:type="dxa"/>
                              <w:right w:w="108" w:type="dxa"/>
                            </w:tcMar>
                            <w:hideMark/>
                          </w:tcPr>
                          <w:p w:rsidR="008D2E15" w:rsidRPr="00617B38" w:rsidRDefault="008D2E15" w:rsidP="00F81999">
                            <w:pPr>
                              <w:pStyle w:val="TAC"/>
                            </w:pPr>
                            <w:r w:rsidRPr="00617B38">
                              <w:t>Fixed wireless access(FWA) UE</w:t>
                            </w:r>
                          </w:p>
                        </w:tc>
                      </w:tr>
                      <w:tr w:rsidR="008D2E15" w:rsidRPr="00617B38" w:rsidTr="008D2E15">
                        <w:trPr>
                          <w:trHeight w:val="4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2</w:t>
                            </w:r>
                          </w:p>
                        </w:tc>
                        <w:tc>
                          <w:tcPr>
                            <w:tcW w:w="4765" w:type="dxa"/>
                            <w:tcMar>
                              <w:top w:w="0" w:type="dxa"/>
                              <w:left w:w="108" w:type="dxa"/>
                              <w:bottom w:w="0" w:type="dxa"/>
                              <w:right w:w="108" w:type="dxa"/>
                            </w:tcMar>
                            <w:hideMark/>
                          </w:tcPr>
                          <w:p w:rsidR="008D2E15" w:rsidRPr="00617B38" w:rsidRDefault="008D2E15" w:rsidP="00F81999">
                            <w:pPr>
                              <w:pStyle w:val="TAC"/>
                            </w:pPr>
                            <w:r w:rsidRPr="00617B38">
                              <w:t>Vehicular UE</w:t>
                            </w:r>
                          </w:p>
                        </w:tc>
                      </w:tr>
                      <w:tr w:rsidR="008D2E15" w:rsidRPr="00617B38" w:rsidTr="008D2E15">
                        <w:trPr>
                          <w:trHeight w:val="4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3</w:t>
                            </w:r>
                          </w:p>
                        </w:tc>
                        <w:tc>
                          <w:tcPr>
                            <w:tcW w:w="4765" w:type="dxa"/>
                            <w:tcMar>
                              <w:top w:w="0" w:type="dxa"/>
                              <w:left w:w="108" w:type="dxa"/>
                              <w:bottom w:w="0" w:type="dxa"/>
                              <w:right w:w="108" w:type="dxa"/>
                            </w:tcMar>
                            <w:hideMark/>
                          </w:tcPr>
                          <w:p w:rsidR="008D2E15" w:rsidRPr="00617B38" w:rsidRDefault="008D2E15" w:rsidP="00F81999">
                            <w:pPr>
                              <w:pStyle w:val="TAC"/>
                            </w:pPr>
                            <w:r w:rsidRPr="00617B38">
                              <w:t>Handheld UE</w:t>
                            </w:r>
                          </w:p>
                        </w:tc>
                      </w:tr>
                      <w:tr w:rsidR="008D2E15" w:rsidRPr="00617B38" w:rsidTr="008D2E15">
                        <w:trPr>
                          <w:trHeight w:val="70"/>
                          <w:jc w:val="center"/>
                        </w:trPr>
                        <w:tc>
                          <w:tcPr>
                            <w:tcW w:w="2094" w:type="dxa"/>
                            <w:tcMar>
                              <w:top w:w="0" w:type="dxa"/>
                              <w:left w:w="108" w:type="dxa"/>
                              <w:bottom w:w="0" w:type="dxa"/>
                              <w:right w:w="108" w:type="dxa"/>
                            </w:tcMar>
                            <w:hideMark/>
                          </w:tcPr>
                          <w:p w:rsidR="008D2E15" w:rsidRPr="00617B38" w:rsidRDefault="008D2E15" w:rsidP="00F81999">
                            <w:pPr>
                              <w:pStyle w:val="TAC"/>
                            </w:pPr>
                            <w:r w:rsidRPr="00617B38">
                              <w:t>4</w:t>
                            </w:r>
                          </w:p>
                        </w:tc>
                        <w:tc>
                          <w:tcPr>
                            <w:tcW w:w="4765" w:type="dxa"/>
                            <w:tcMar>
                              <w:top w:w="0" w:type="dxa"/>
                              <w:left w:w="108" w:type="dxa"/>
                              <w:bottom w:w="0" w:type="dxa"/>
                              <w:right w:w="108" w:type="dxa"/>
                            </w:tcMar>
                            <w:hideMark/>
                          </w:tcPr>
                          <w:p w:rsidR="008D2E15" w:rsidRPr="00617B38" w:rsidRDefault="008D2E15" w:rsidP="00F81999">
                            <w:pPr>
                              <w:pStyle w:val="TAC"/>
                            </w:pPr>
                            <w:r w:rsidRPr="00617B38">
                              <w:t>High power non-handheld UE</w:t>
                            </w:r>
                          </w:p>
                        </w:tc>
                      </w:tr>
                    </w:tbl>
                    <w:p w:rsidR="008D2E15" w:rsidRDefault="008D2E15" w:rsidP="00021B8B">
                      <w:pPr>
                        <w:tabs>
                          <w:tab w:val="left" w:pos="709"/>
                        </w:tabs>
                        <w:overflowPunct w:val="0"/>
                        <w:autoSpaceDE w:val="0"/>
                        <w:autoSpaceDN w:val="0"/>
                        <w:adjustRightInd w:val="0"/>
                        <w:ind w:left="720" w:hanging="720"/>
                        <w:jc w:val="center"/>
                        <w:textAlignment w:val="baseline"/>
                        <w:rPr>
                          <w:sz w:val="18"/>
                          <w:szCs w:val="20"/>
                        </w:rPr>
                      </w:pPr>
                    </w:p>
                  </w:txbxContent>
                </v:textbox>
                <w10:anchorlock/>
              </v:shape>
            </w:pict>
          </mc:Fallback>
        </mc:AlternateContent>
      </w:r>
    </w:p>
    <w:p w:rsidR="00021B8B" w:rsidRDefault="00021B8B" w:rsidP="00DB3B57">
      <w:pPr>
        <w:rPr>
          <w:sz w:val="20"/>
          <w:szCs w:val="20"/>
        </w:rPr>
      </w:pPr>
    </w:p>
    <w:p w:rsidR="000B5EAC" w:rsidRDefault="002F7DA7" w:rsidP="00DB3B57">
      <w:pPr>
        <w:rPr>
          <w:sz w:val="20"/>
          <w:szCs w:val="20"/>
        </w:rPr>
      </w:pPr>
      <w:r>
        <w:rPr>
          <w:sz w:val="20"/>
          <w:szCs w:val="20"/>
        </w:rPr>
        <w:t>Since other UE types were not precluded</w:t>
      </w:r>
      <w:r w:rsidR="00DA45B8">
        <w:rPr>
          <w:sz w:val="20"/>
          <w:szCs w:val="20"/>
        </w:rPr>
        <w:t xml:space="preserve"> and are expected in 5G</w:t>
      </w:r>
      <w:r>
        <w:rPr>
          <w:sz w:val="20"/>
          <w:szCs w:val="20"/>
        </w:rPr>
        <w:t xml:space="preserve">, </w:t>
      </w:r>
      <w:r w:rsidR="00ED11E7">
        <w:rPr>
          <w:sz w:val="20"/>
          <w:szCs w:val="20"/>
        </w:rPr>
        <w:t xml:space="preserve">we have to assume that a power class may have more than one type of UE. </w:t>
      </w:r>
      <w:r>
        <w:rPr>
          <w:sz w:val="20"/>
          <w:szCs w:val="20"/>
        </w:rPr>
        <w:t xml:space="preserve">However, this has not been thoroughly discussed in RAN4 and there may be some </w:t>
      </w:r>
      <w:r w:rsidR="00ED11E7">
        <w:rPr>
          <w:sz w:val="20"/>
          <w:szCs w:val="20"/>
        </w:rPr>
        <w:t xml:space="preserve">important </w:t>
      </w:r>
      <w:r>
        <w:rPr>
          <w:sz w:val="20"/>
          <w:szCs w:val="20"/>
        </w:rPr>
        <w:t>implications we need to address. In t</w:t>
      </w:r>
      <w:r w:rsidR="00021B8B">
        <w:rPr>
          <w:sz w:val="20"/>
          <w:szCs w:val="20"/>
        </w:rPr>
        <w:t xml:space="preserve">his paper </w:t>
      </w:r>
      <w:r>
        <w:rPr>
          <w:sz w:val="20"/>
          <w:szCs w:val="20"/>
        </w:rPr>
        <w:t xml:space="preserve">we go over some </w:t>
      </w:r>
      <w:r w:rsidR="00ED11E7">
        <w:rPr>
          <w:sz w:val="20"/>
          <w:szCs w:val="20"/>
        </w:rPr>
        <w:t>of these</w:t>
      </w:r>
      <w:r>
        <w:rPr>
          <w:sz w:val="20"/>
          <w:szCs w:val="20"/>
        </w:rPr>
        <w:t xml:space="preserve"> points</w:t>
      </w:r>
      <w:r w:rsidR="00021B8B">
        <w:rPr>
          <w:sz w:val="20"/>
          <w:szCs w:val="20"/>
        </w:rPr>
        <w:t xml:space="preserve">. </w:t>
      </w:r>
    </w:p>
    <w:p w:rsidR="00021B8B" w:rsidRPr="000B5EAC" w:rsidRDefault="000B5EAC" w:rsidP="000B5EAC">
      <w:pPr>
        <w:tabs>
          <w:tab w:val="left" w:pos="1054"/>
        </w:tabs>
        <w:rPr>
          <w:sz w:val="20"/>
          <w:szCs w:val="20"/>
        </w:rPr>
      </w:pPr>
      <w:r>
        <w:rPr>
          <w:sz w:val="20"/>
          <w:szCs w:val="20"/>
        </w:rPr>
        <w:tab/>
      </w:r>
    </w:p>
    <w:p w:rsidR="00021B8B" w:rsidRPr="0086531A" w:rsidRDefault="00021B8B" w:rsidP="000B5EAC">
      <w:pPr>
        <w:pStyle w:val="Heading1"/>
        <w:spacing w:before="140"/>
        <w:ind w:left="562" w:hanging="562"/>
        <w:rPr>
          <w:lang w:val="en-US"/>
        </w:rPr>
      </w:pPr>
      <w:r w:rsidRPr="0086531A">
        <w:rPr>
          <w:lang w:val="en-US"/>
        </w:rPr>
        <w:lastRenderedPageBreak/>
        <w:t>Discussion</w:t>
      </w:r>
    </w:p>
    <w:p w:rsidR="00021B8B" w:rsidRDefault="00E60561" w:rsidP="000B5EAC">
      <w:pPr>
        <w:pStyle w:val="Heading2"/>
        <w:tabs>
          <w:tab w:val="clear" w:pos="360"/>
        </w:tabs>
        <w:spacing w:before="280" w:after="120"/>
        <w:ind w:left="562" w:hanging="562"/>
        <w:rPr>
          <w:rFonts w:eastAsia="SimSun"/>
        </w:rPr>
      </w:pPr>
      <w:bookmarkStart w:id="0" w:name="_GoBack"/>
      <w:bookmarkEnd w:id="0"/>
      <w:r>
        <w:rPr>
          <w:rFonts w:eastAsia="SimSun"/>
        </w:rPr>
        <w:t>FR2 power classes</w:t>
      </w:r>
    </w:p>
    <w:p w:rsidR="00E60561" w:rsidRDefault="00E60561" w:rsidP="00E60561">
      <w:pPr>
        <w:rPr>
          <w:sz w:val="20"/>
          <w:szCs w:val="20"/>
        </w:rPr>
      </w:pPr>
      <w:r>
        <w:rPr>
          <w:sz w:val="20"/>
          <w:szCs w:val="20"/>
        </w:rPr>
        <w:t>FR2 p</w:t>
      </w:r>
      <w:r w:rsidR="00951093" w:rsidRPr="00021B8B">
        <w:rPr>
          <w:sz w:val="20"/>
          <w:szCs w:val="20"/>
        </w:rPr>
        <w:t>ower c</w:t>
      </w:r>
      <w:r>
        <w:rPr>
          <w:sz w:val="20"/>
          <w:szCs w:val="20"/>
        </w:rPr>
        <w:t>lass requirements</w:t>
      </w:r>
      <w:r w:rsidR="00951093" w:rsidRPr="00021B8B">
        <w:rPr>
          <w:sz w:val="20"/>
          <w:szCs w:val="20"/>
        </w:rPr>
        <w:t xml:space="preserve"> were defined with specific architectures and UE types in mind</w:t>
      </w:r>
      <w:r>
        <w:rPr>
          <w:sz w:val="20"/>
          <w:szCs w:val="20"/>
        </w:rPr>
        <w:t xml:space="preserve"> [5]. </w:t>
      </w:r>
      <w:r w:rsidR="00951093" w:rsidRPr="00021B8B">
        <w:rPr>
          <w:sz w:val="20"/>
          <w:szCs w:val="20"/>
        </w:rPr>
        <w:t>While the intention was to have the power class</w:t>
      </w:r>
      <w:r w:rsidR="004A3EAA">
        <w:rPr>
          <w:sz w:val="20"/>
          <w:szCs w:val="20"/>
        </w:rPr>
        <w:t xml:space="preserve">es be agnostic to UE type, </w:t>
      </w:r>
      <w:r>
        <w:rPr>
          <w:sz w:val="20"/>
          <w:szCs w:val="20"/>
        </w:rPr>
        <w:t>a UE type table was introduced to TR 38.817-01 for background information. Initial discussions of UE types in FR2 note that other UE types should not be precluded [4]. However, later on the UE type table was included in TS 38.101-2 [6]</w:t>
      </w:r>
      <w:r w:rsidR="009437EE">
        <w:rPr>
          <w:sz w:val="20"/>
          <w:szCs w:val="20"/>
        </w:rPr>
        <w:t>. This makes it harder to know for sure if the common understanding in RAN4 is that a power class is linked to a single UE typ</w:t>
      </w:r>
      <w:r w:rsidR="00A8562A">
        <w:rPr>
          <w:sz w:val="20"/>
          <w:szCs w:val="20"/>
        </w:rPr>
        <w:t>e, or that it may have more than one UE type.</w:t>
      </w:r>
    </w:p>
    <w:p w:rsidR="00E60561" w:rsidRPr="000B5EAC" w:rsidRDefault="00E60561" w:rsidP="00E60561">
      <w:pPr>
        <w:rPr>
          <w:sz w:val="18"/>
          <w:szCs w:val="20"/>
        </w:rPr>
      </w:pPr>
    </w:p>
    <w:p w:rsidR="00E60561" w:rsidRDefault="00E60561" w:rsidP="00E60561">
      <w:pPr>
        <w:rPr>
          <w:sz w:val="20"/>
          <w:szCs w:val="20"/>
        </w:rPr>
      </w:pPr>
      <w:r>
        <w:rPr>
          <w:b/>
          <w:sz w:val="20"/>
          <w:szCs w:val="20"/>
        </w:rPr>
        <w:t>Observation</w:t>
      </w:r>
      <w:r>
        <w:rPr>
          <w:b/>
          <w:sz w:val="20"/>
          <w:szCs w:val="20"/>
        </w:rPr>
        <w:t xml:space="preserve"> 1</w:t>
      </w:r>
      <w:r w:rsidRPr="00844CF4">
        <w:rPr>
          <w:b/>
          <w:sz w:val="20"/>
          <w:szCs w:val="20"/>
        </w:rPr>
        <w:t>:</w:t>
      </w:r>
      <w:r w:rsidRPr="00021B8B">
        <w:rPr>
          <w:sz w:val="20"/>
          <w:szCs w:val="20"/>
        </w:rPr>
        <w:t xml:space="preserve"> </w:t>
      </w:r>
      <w:r>
        <w:rPr>
          <w:sz w:val="20"/>
          <w:szCs w:val="20"/>
        </w:rPr>
        <w:t>Power classes in FR2 were intended to be agnostic to UE type. However, with the full set of power class requirements defined and a UE type table included in TS 38.101-2, it is hard to know if th</w:t>
      </w:r>
      <w:r w:rsidR="009437EE">
        <w:rPr>
          <w:sz w:val="20"/>
          <w:szCs w:val="20"/>
        </w:rPr>
        <w:t>e</w:t>
      </w:r>
      <w:r>
        <w:rPr>
          <w:sz w:val="20"/>
          <w:szCs w:val="20"/>
        </w:rPr>
        <w:t xml:space="preserve"> </w:t>
      </w:r>
      <w:r w:rsidR="009437EE">
        <w:rPr>
          <w:sz w:val="20"/>
          <w:szCs w:val="20"/>
        </w:rPr>
        <w:t>common understanding in</w:t>
      </w:r>
      <w:r>
        <w:rPr>
          <w:sz w:val="20"/>
          <w:szCs w:val="20"/>
        </w:rPr>
        <w:t xml:space="preserve"> RAN4</w:t>
      </w:r>
      <w:r w:rsidR="009437EE">
        <w:rPr>
          <w:sz w:val="20"/>
          <w:szCs w:val="20"/>
        </w:rPr>
        <w:t xml:space="preserve"> is that a power class implies a </w:t>
      </w:r>
      <w:r w:rsidR="00A8562A">
        <w:rPr>
          <w:sz w:val="20"/>
          <w:szCs w:val="20"/>
        </w:rPr>
        <w:t xml:space="preserve">single </w:t>
      </w:r>
      <w:r w:rsidR="009437EE">
        <w:rPr>
          <w:sz w:val="20"/>
          <w:szCs w:val="20"/>
        </w:rPr>
        <w:t>UE type.</w:t>
      </w:r>
    </w:p>
    <w:p w:rsidR="009437EE" w:rsidRPr="000B5EAC" w:rsidRDefault="009437EE" w:rsidP="00E60561">
      <w:pPr>
        <w:rPr>
          <w:sz w:val="18"/>
          <w:szCs w:val="20"/>
        </w:rPr>
      </w:pPr>
    </w:p>
    <w:p w:rsidR="009437EE" w:rsidRDefault="009437EE" w:rsidP="00E60561">
      <w:pPr>
        <w:rPr>
          <w:sz w:val="20"/>
          <w:szCs w:val="20"/>
        </w:rPr>
      </w:pPr>
      <w:r w:rsidRPr="009437EE">
        <w:rPr>
          <w:b/>
          <w:sz w:val="20"/>
          <w:szCs w:val="20"/>
        </w:rPr>
        <w:t>Proposal 1:</w:t>
      </w:r>
      <w:r>
        <w:rPr>
          <w:sz w:val="20"/>
          <w:szCs w:val="20"/>
        </w:rPr>
        <w:t xml:space="preserve"> </w:t>
      </w:r>
      <w:r w:rsidR="00A8562A">
        <w:rPr>
          <w:sz w:val="20"/>
          <w:szCs w:val="20"/>
        </w:rPr>
        <w:t xml:space="preserve">We </w:t>
      </w:r>
      <w:r>
        <w:rPr>
          <w:sz w:val="20"/>
          <w:szCs w:val="20"/>
        </w:rPr>
        <w:t>should verify companies’ understanding of power classes in FR2: if it implies a single UE type, or if several UE types can operate under the same power class.</w:t>
      </w:r>
    </w:p>
    <w:p w:rsidR="00E60561" w:rsidRDefault="00E60561" w:rsidP="00E60561">
      <w:pPr>
        <w:rPr>
          <w:sz w:val="20"/>
          <w:szCs w:val="20"/>
        </w:rPr>
      </w:pPr>
    </w:p>
    <w:p w:rsidR="00E60561" w:rsidRDefault="009437EE" w:rsidP="00E60561">
      <w:pPr>
        <w:rPr>
          <w:sz w:val="20"/>
          <w:szCs w:val="20"/>
        </w:rPr>
      </w:pPr>
      <w:r>
        <w:rPr>
          <w:sz w:val="20"/>
          <w:szCs w:val="20"/>
        </w:rPr>
        <w:t xml:space="preserve">This point is important for many reasons, one being that we have not </w:t>
      </w:r>
      <w:r w:rsidR="00347B6A">
        <w:rPr>
          <w:sz w:val="20"/>
          <w:szCs w:val="20"/>
        </w:rPr>
        <w:t>directly</w:t>
      </w:r>
      <w:r>
        <w:rPr>
          <w:sz w:val="20"/>
          <w:szCs w:val="20"/>
        </w:rPr>
        <w:t xml:space="preserve"> addressed </w:t>
      </w:r>
      <w:r w:rsidR="00347B6A">
        <w:rPr>
          <w:sz w:val="20"/>
          <w:szCs w:val="20"/>
        </w:rPr>
        <w:t>all</w:t>
      </w:r>
      <w:r>
        <w:rPr>
          <w:sz w:val="20"/>
          <w:szCs w:val="20"/>
        </w:rPr>
        <w:t xml:space="preserve"> </w:t>
      </w:r>
      <w:r w:rsidR="00347B6A">
        <w:rPr>
          <w:sz w:val="20"/>
          <w:szCs w:val="20"/>
        </w:rPr>
        <w:t xml:space="preserve">potential </w:t>
      </w:r>
      <w:r>
        <w:rPr>
          <w:sz w:val="20"/>
          <w:szCs w:val="20"/>
        </w:rPr>
        <w:t xml:space="preserve">UE types in RAN4 discussions and should </w:t>
      </w:r>
      <w:r w:rsidR="00347B6A">
        <w:rPr>
          <w:sz w:val="20"/>
          <w:szCs w:val="20"/>
        </w:rPr>
        <w:t xml:space="preserve">avoid </w:t>
      </w:r>
      <w:r>
        <w:rPr>
          <w:sz w:val="20"/>
          <w:szCs w:val="20"/>
        </w:rPr>
        <w:t>preclud</w:t>
      </w:r>
      <w:r w:rsidR="00347B6A">
        <w:rPr>
          <w:sz w:val="20"/>
          <w:szCs w:val="20"/>
        </w:rPr>
        <w:t>ing</w:t>
      </w:r>
      <w:r>
        <w:rPr>
          <w:sz w:val="20"/>
          <w:szCs w:val="20"/>
        </w:rPr>
        <w:t xml:space="preserve"> them. </w:t>
      </w:r>
      <w:r w:rsidR="00347B6A">
        <w:rPr>
          <w:sz w:val="20"/>
          <w:szCs w:val="20"/>
        </w:rPr>
        <w:t xml:space="preserve">To do this, we have to align on the fact that several UE types can operate under the same power class in FR2, so long as they meet the </w:t>
      </w:r>
      <w:r w:rsidR="00981757">
        <w:rPr>
          <w:sz w:val="20"/>
          <w:szCs w:val="20"/>
        </w:rPr>
        <w:t xml:space="preserve">specific </w:t>
      </w:r>
      <w:r w:rsidR="00347B6A">
        <w:rPr>
          <w:sz w:val="20"/>
          <w:szCs w:val="20"/>
        </w:rPr>
        <w:t>power class requirements.</w:t>
      </w:r>
    </w:p>
    <w:p w:rsidR="00E60561" w:rsidRDefault="00E60561" w:rsidP="00E60561">
      <w:pPr>
        <w:rPr>
          <w:sz w:val="20"/>
          <w:szCs w:val="20"/>
        </w:rPr>
      </w:pPr>
    </w:p>
    <w:p w:rsidR="009437EE" w:rsidRDefault="00951093" w:rsidP="00981757">
      <w:pPr>
        <w:rPr>
          <w:sz w:val="20"/>
          <w:szCs w:val="20"/>
        </w:rPr>
      </w:pPr>
      <w:r w:rsidRPr="00844CF4">
        <w:rPr>
          <w:b/>
          <w:sz w:val="20"/>
          <w:szCs w:val="20"/>
        </w:rPr>
        <w:t>Proposal</w:t>
      </w:r>
      <w:r>
        <w:rPr>
          <w:b/>
          <w:sz w:val="20"/>
          <w:szCs w:val="20"/>
        </w:rPr>
        <w:t xml:space="preserve"> </w:t>
      </w:r>
      <w:r w:rsidR="009437EE">
        <w:rPr>
          <w:b/>
          <w:sz w:val="20"/>
          <w:szCs w:val="20"/>
        </w:rPr>
        <w:t>2</w:t>
      </w:r>
      <w:r w:rsidRPr="00844CF4">
        <w:rPr>
          <w:b/>
          <w:sz w:val="20"/>
          <w:szCs w:val="20"/>
        </w:rPr>
        <w:t>:</w:t>
      </w:r>
      <w:r w:rsidRPr="00021B8B">
        <w:rPr>
          <w:sz w:val="20"/>
          <w:szCs w:val="20"/>
        </w:rPr>
        <w:t xml:space="preserve"> </w:t>
      </w:r>
      <w:r>
        <w:rPr>
          <w:sz w:val="20"/>
          <w:szCs w:val="20"/>
        </w:rPr>
        <w:t>A</w:t>
      </w:r>
      <w:r w:rsidRPr="00021B8B">
        <w:rPr>
          <w:sz w:val="20"/>
          <w:szCs w:val="20"/>
        </w:rPr>
        <w:t>ny UE type that m</w:t>
      </w:r>
      <w:r w:rsidR="00981757">
        <w:rPr>
          <w:sz w:val="20"/>
          <w:szCs w:val="20"/>
        </w:rPr>
        <w:t>eets the approved requirements of</w:t>
      </w:r>
      <w:r>
        <w:rPr>
          <w:sz w:val="20"/>
          <w:szCs w:val="20"/>
        </w:rPr>
        <w:t xml:space="preserve"> a specific FR2 power class, </w:t>
      </w:r>
      <w:r w:rsidR="00981757">
        <w:rPr>
          <w:sz w:val="20"/>
          <w:szCs w:val="20"/>
        </w:rPr>
        <w:t>can operate under</w:t>
      </w:r>
      <w:r w:rsidRPr="00021B8B">
        <w:rPr>
          <w:sz w:val="20"/>
          <w:szCs w:val="20"/>
        </w:rPr>
        <w:t xml:space="preserve"> said power class.</w:t>
      </w:r>
      <w:r w:rsidR="00981757">
        <w:rPr>
          <w:sz w:val="20"/>
          <w:szCs w:val="20"/>
        </w:rPr>
        <w:t xml:space="preserve"> </w:t>
      </w:r>
    </w:p>
    <w:p w:rsidR="009437EE" w:rsidRDefault="009437EE" w:rsidP="00981757">
      <w:pPr>
        <w:rPr>
          <w:sz w:val="20"/>
          <w:szCs w:val="20"/>
        </w:rPr>
      </w:pPr>
    </w:p>
    <w:p w:rsidR="00981757" w:rsidRDefault="0086531A" w:rsidP="00981757">
      <w:pPr>
        <w:rPr>
          <w:sz w:val="20"/>
          <w:szCs w:val="20"/>
        </w:rPr>
      </w:pPr>
      <w:r>
        <w:rPr>
          <w:sz w:val="20"/>
          <w:szCs w:val="20"/>
        </w:rPr>
        <w:t>Impact on</w:t>
      </w:r>
      <w:r w:rsidR="00981757">
        <w:rPr>
          <w:sz w:val="20"/>
          <w:szCs w:val="20"/>
        </w:rPr>
        <w:t xml:space="preserve"> testability is very important, since it is crucial to know the UE’s power class. </w:t>
      </w:r>
      <w:r w:rsidR="000B5EAC">
        <w:rPr>
          <w:sz w:val="20"/>
          <w:szCs w:val="20"/>
        </w:rPr>
        <w:t>A manufacturer declaration of the UE’s power class</w:t>
      </w:r>
      <w:r w:rsidR="000B5EAC" w:rsidRPr="00021B8B">
        <w:rPr>
          <w:sz w:val="20"/>
          <w:szCs w:val="20"/>
        </w:rPr>
        <w:t xml:space="preserve"> </w:t>
      </w:r>
      <w:r w:rsidR="000B5EAC">
        <w:rPr>
          <w:sz w:val="20"/>
          <w:szCs w:val="20"/>
        </w:rPr>
        <w:t xml:space="preserve">will </w:t>
      </w:r>
      <w:r w:rsidR="000B5EAC" w:rsidRPr="00021B8B">
        <w:rPr>
          <w:sz w:val="20"/>
          <w:szCs w:val="20"/>
        </w:rPr>
        <w:t>likely be needed fo</w:t>
      </w:r>
      <w:r w:rsidR="000B5EAC">
        <w:rPr>
          <w:sz w:val="20"/>
          <w:szCs w:val="20"/>
        </w:rPr>
        <w:t>r conformance testing.</w:t>
      </w:r>
      <w:r w:rsidR="000B5EAC">
        <w:rPr>
          <w:sz w:val="20"/>
          <w:szCs w:val="20"/>
        </w:rPr>
        <w:t xml:space="preserve"> </w:t>
      </w:r>
      <w:r w:rsidR="00981757">
        <w:rPr>
          <w:sz w:val="20"/>
          <w:szCs w:val="20"/>
        </w:rPr>
        <w:t xml:space="preserve">Also, measurement uncertainty will be derived per power class; and while performance requirements are the same, the size </w:t>
      </w:r>
      <w:r>
        <w:rPr>
          <w:sz w:val="20"/>
          <w:szCs w:val="20"/>
        </w:rPr>
        <w:t>of</w:t>
      </w:r>
      <w:r w:rsidR="00981757">
        <w:rPr>
          <w:sz w:val="20"/>
          <w:szCs w:val="20"/>
        </w:rPr>
        <w:t xml:space="preserve"> </w:t>
      </w:r>
      <w:r>
        <w:rPr>
          <w:sz w:val="20"/>
          <w:szCs w:val="20"/>
        </w:rPr>
        <w:t>the</w:t>
      </w:r>
      <w:r w:rsidR="00981757">
        <w:rPr>
          <w:sz w:val="20"/>
          <w:szCs w:val="20"/>
        </w:rPr>
        <w:t xml:space="preserve"> UE types </w:t>
      </w:r>
      <w:r>
        <w:rPr>
          <w:sz w:val="20"/>
          <w:szCs w:val="20"/>
        </w:rPr>
        <w:t>can be significantly different</w:t>
      </w:r>
      <w:r w:rsidR="00981757">
        <w:rPr>
          <w:sz w:val="20"/>
          <w:szCs w:val="20"/>
        </w:rPr>
        <w:t xml:space="preserve"> and this will impact the testing methodology.</w:t>
      </w:r>
    </w:p>
    <w:p w:rsidR="00981757" w:rsidRDefault="00981757" w:rsidP="00981757">
      <w:pPr>
        <w:rPr>
          <w:sz w:val="20"/>
          <w:szCs w:val="20"/>
        </w:rPr>
      </w:pPr>
    </w:p>
    <w:p w:rsidR="00951093" w:rsidRDefault="00951093" w:rsidP="00981757">
      <w:pPr>
        <w:rPr>
          <w:sz w:val="20"/>
          <w:szCs w:val="20"/>
        </w:rPr>
      </w:pPr>
      <w:r w:rsidRPr="00844CF4">
        <w:rPr>
          <w:b/>
          <w:sz w:val="20"/>
          <w:szCs w:val="20"/>
        </w:rPr>
        <w:t xml:space="preserve">Observation </w:t>
      </w:r>
      <w:r w:rsidR="009437EE">
        <w:rPr>
          <w:b/>
          <w:sz w:val="20"/>
          <w:szCs w:val="20"/>
        </w:rPr>
        <w:t>2</w:t>
      </w:r>
      <w:r w:rsidRPr="00844CF4">
        <w:rPr>
          <w:b/>
          <w:sz w:val="20"/>
          <w:szCs w:val="20"/>
        </w:rPr>
        <w:t>:</w:t>
      </w:r>
      <w:r>
        <w:rPr>
          <w:sz w:val="20"/>
          <w:szCs w:val="20"/>
        </w:rPr>
        <w:t xml:space="preserve"> </w:t>
      </w:r>
      <w:r w:rsidR="0086531A">
        <w:rPr>
          <w:sz w:val="20"/>
          <w:szCs w:val="20"/>
        </w:rPr>
        <w:t>The size of a UE impacts the testing methodology, therefore t</w:t>
      </w:r>
      <w:r w:rsidR="00981757">
        <w:rPr>
          <w:sz w:val="20"/>
          <w:szCs w:val="20"/>
        </w:rPr>
        <w:t xml:space="preserve">here are testability considerations we should </w:t>
      </w:r>
      <w:r w:rsidR="00A8562A">
        <w:rPr>
          <w:sz w:val="20"/>
          <w:szCs w:val="20"/>
        </w:rPr>
        <w:t xml:space="preserve">further </w:t>
      </w:r>
      <w:r w:rsidR="00981757">
        <w:rPr>
          <w:sz w:val="20"/>
          <w:szCs w:val="20"/>
        </w:rPr>
        <w:t xml:space="preserve">discuss </w:t>
      </w:r>
      <w:r w:rsidR="0086531A">
        <w:rPr>
          <w:sz w:val="20"/>
          <w:szCs w:val="20"/>
        </w:rPr>
        <w:t>and better understand.</w:t>
      </w:r>
    </w:p>
    <w:p w:rsidR="00021B8B" w:rsidRPr="00CA7BFA" w:rsidRDefault="00021B8B" w:rsidP="000B5EAC">
      <w:pPr>
        <w:pStyle w:val="Heading1"/>
        <w:spacing w:before="320" w:after="140"/>
        <w:ind w:left="562" w:hanging="562"/>
        <w:rPr>
          <w:lang w:val="en-US"/>
        </w:rPr>
      </w:pPr>
      <w:r w:rsidRPr="00CA7BFA">
        <w:rPr>
          <w:lang w:val="en-US"/>
        </w:rPr>
        <w:t>Conclusions</w:t>
      </w:r>
    </w:p>
    <w:p w:rsidR="00021B8B" w:rsidRPr="008B61BA" w:rsidRDefault="00021B8B" w:rsidP="00021B8B">
      <w:pPr>
        <w:rPr>
          <w:sz w:val="20"/>
          <w:szCs w:val="20"/>
        </w:rPr>
      </w:pPr>
      <w:r>
        <w:rPr>
          <w:sz w:val="20"/>
          <w:szCs w:val="20"/>
        </w:rPr>
        <w:t xml:space="preserve">In this paper, we </w:t>
      </w:r>
      <w:r w:rsidR="00CA7BFA">
        <w:rPr>
          <w:sz w:val="20"/>
          <w:szCs w:val="20"/>
        </w:rPr>
        <w:t xml:space="preserve">discussed </w:t>
      </w:r>
      <w:r w:rsidR="002E124D">
        <w:rPr>
          <w:sz w:val="20"/>
          <w:szCs w:val="20"/>
        </w:rPr>
        <w:t xml:space="preserve">how </w:t>
      </w:r>
      <w:r w:rsidR="00CA7BFA">
        <w:rPr>
          <w:sz w:val="20"/>
          <w:szCs w:val="20"/>
        </w:rPr>
        <w:t xml:space="preserve">the four power classes </w:t>
      </w:r>
      <w:r w:rsidR="002E124D">
        <w:rPr>
          <w:sz w:val="20"/>
          <w:szCs w:val="20"/>
        </w:rPr>
        <w:t xml:space="preserve">were derived </w:t>
      </w:r>
      <w:r w:rsidR="00CA7BFA">
        <w:rPr>
          <w:sz w:val="20"/>
          <w:szCs w:val="20"/>
        </w:rPr>
        <w:t>in FR2,</w:t>
      </w:r>
      <w:r w:rsidR="002E124D">
        <w:rPr>
          <w:sz w:val="20"/>
          <w:szCs w:val="20"/>
        </w:rPr>
        <w:t xml:space="preserve"> and highlighted important considerations for new </w:t>
      </w:r>
      <w:r w:rsidR="00CA7BFA">
        <w:rPr>
          <w:sz w:val="20"/>
          <w:szCs w:val="20"/>
        </w:rPr>
        <w:t>UE types</w:t>
      </w:r>
      <w:r w:rsidR="002E124D">
        <w:rPr>
          <w:sz w:val="20"/>
          <w:szCs w:val="20"/>
        </w:rPr>
        <w:t xml:space="preserve"> that we should further study.</w:t>
      </w:r>
      <w:r>
        <w:rPr>
          <w:sz w:val="20"/>
          <w:szCs w:val="20"/>
        </w:rPr>
        <w:t xml:space="preserve"> The </w:t>
      </w:r>
      <w:r w:rsidRPr="008B61BA">
        <w:rPr>
          <w:sz w:val="20"/>
          <w:szCs w:val="20"/>
        </w:rPr>
        <w:t xml:space="preserve">following observations and proposals </w:t>
      </w:r>
      <w:r>
        <w:rPr>
          <w:sz w:val="20"/>
          <w:szCs w:val="20"/>
        </w:rPr>
        <w:t xml:space="preserve">were </w:t>
      </w:r>
      <w:r w:rsidRPr="008B61BA">
        <w:rPr>
          <w:sz w:val="20"/>
          <w:szCs w:val="20"/>
        </w:rPr>
        <w:t>made:</w:t>
      </w:r>
    </w:p>
    <w:p w:rsidR="00021B8B" w:rsidRPr="008B61BA" w:rsidRDefault="00021B8B" w:rsidP="00021B8B">
      <w:pPr>
        <w:rPr>
          <w:sz w:val="20"/>
          <w:szCs w:val="20"/>
        </w:rPr>
      </w:pPr>
    </w:p>
    <w:p w:rsidR="00DB3B57" w:rsidRDefault="00DB3B57" w:rsidP="00DB3B57">
      <w:pPr>
        <w:rPr>
          <w:sz w:val="20"/>
          <w:szCs w:val="20"/>
        </w:rPr>
      </w:pPr>
      <w:r>
        <w:rPr>
          <w:b/>
          <w:sz w:val="20"/>
          <w:szCs w:val="20"/>
        </w:rPr>
        <w:t>Observation 1</w:t>
      </w:r>
      <w:r w:rsidRPr="00844CF4">
        <w:rPr>
          <w:b/>
          <w:sz w:val="20"/>
          <w:szCs w:val="20"/>
        </w:rPr>
        <w:t>:</w:t>
      </w:r>
      <w:r w:rsidRPr="00021B8B">
        <w:rPr>
          <w:sz w:val="20"/>
          <w:szCs w:val="20"/>
        </w:rPr>
        <w:t xml:space="preserve"> </w:t>
      </w:r>
      <w:r>
        <w:rPr>
          <w:sz w:val="20"/>
          <w:szCs w:val="20"/>
        </w:rPr>
        <w:t>Power classes in FR2 were intended to be agnostic to UE type. However, with the full set of power class requirements defined and a UE type table included in TS 38.101-2, it is hard to know if the common understanding in RAN4 is that a power class implies a single UE type.</w:t>
      </w:r>
    </w:p>
    <w:p w:rsidR="00DB3B57" w:rsidRDefault="00DB3B57" w:rsidP="00DB3B57">
      <w:pPr>
        <w:rPr>
          <w:sz w:val="20"/>
          <w:szCs w:val="20"/>
        </w:rPr>
      </w:pPr>
    </w:p>
    <w:p w:rsidR="00DB3B57" w:rsidRDefault="00DB3B57" w:rsidP="00DB3B57">
      <w:pPr>
        <w:rPr>
          <w:sz w:val="20"/>
          <w:szCs w:val="20"/>
        </w:rPr>
      </w:pPr>
      <w:r w:rsidRPr="009437EE">
        <w:rPr>
          <w:b/>
          <w:sz w:val="20"/>
          <w:szCs w:val="20"/>
        </w:rPr>
        <w:t>Proposal 1:</w:t>
      </w:r>
      <w:r>
        <w:rPr>
          <w:sz w:val="20"/>
          <w:szCs w:val="20"/>
        </w:rPr>
        <w:t xml:space="preserve"> We should verify companies’ understanding of power classes in FR2: if it implies a single UE type, or if several UE types can operate under the same power class.</w:t>
      </w:r>
    </w:p>
    <w:p w:rsidR="00021B8B" w:rsidRDefault="00021B8B" w:rsidP="00021B8B">
      <w:pPr>
        <w:rPr>
          <w:b/>
          <w:sz w:val="20"/>
          <w:szCs w:val="20"/>
        </w:rPr>
      </w:pPr>
    </w:p>
    <w:p w:rsidR="00DB3B57" w:rsidRDefault="00DB3B57" w:rsidP="00DB3B57">
      <w:pPr>
        <w:rPr>
          <w:sz w:val="20"/>
          <w:szCs w:val="20"/>
        </w:rPr>
      </w:pPr>
      <w:r w:rsidRPr="00844CF4">
        <w:rPr>
          <w:b/>
          <w:sz w:val="20"/>
          <w:szCs w:val="20"/>
        </w:rPr>
        <w:t>Proposal</w:t>
      </w:r>
      <w:r>
        <w:rPr>
          <w:b/>
          <w:sz w:val="20"/>
          <w:szCs w:val="20"/>
        </w:rPr>
        <w:t xml:space="preserve"> 2</w:t>
      </w:r>
      <w:r w:rsidRPr="00844CF4">
        <w:rPr>
          <w:b/>
          <w:sz w:val="20"/>
          <w:szCs w:val="20"/>
        </w:rPr>
        <w:t>:</w:t>
      </w:r>
      <w:r w:rsidRPr="00021B8B">
        <w:rPr>
          <w:sz w:val="20"/>
          <w:szCs w:val="20"/>
        </w:rPr>
        <w:t xml:space="preserve"> </w:t>
      </w:r>
      <w:r>
        <w:rPr>
          <w:sz w:val="20"/>
          <w:szCs w:val="20"/>
        </w:rPr>
        <w:t>A</w:t>
      </w:r>
      <w:r w:rsidRPr="00021B8B">
        <w:rPr>
          <w:sz w:val="20"/>
          <w:szCs w:val="20"/>
        </w:rPr>
        <w:t>ny UE type that m</w:t>
      </w:r>
      <w:r>
        <w:rPr>
          <w:sz w:val="20"/>
          <w:szCs w:val="20"/>
        </w:rPr>
        <w:t>eets the approved requirements of a specific FR2 power class, can operate under</w:t>
      </w:r>
      <w:r w:rsidRPr="00021B8B">
        <w:rPr>
          <w:sz w:val="20"/>
          <w:szCs w:val="20"/>
        </w:rPr>
        <w:t xml:space="preserve"> said power class.</w:t>
      </w:r>
    </w:p>
    <w:p w:rsidR="00021B8B" w:rsidRDefault="00021B8B" w:rsidP="00021B8B">
      <w:pPr>
        <w:rPr>
          <w:b/>
          <w:sz w:val="20"/>
          <w:szCs w:val="20"/>
        </w:rPr>
      </w:pPr>
    </w:p>
    <w:p w:rsidR="00021B8B" w:rsidRPr="0036017F" w:rsidRDefault="00DB3B57" w:rsidP="00021B8B">
      <w:pPr>
        <w:rPr>
          <w:rFonts w:eastAsia="SimSun"/>
        </w:rPr>
      </w:pPr>
      <w:r w:rsidRPr="00844CF4">
        <w:rPr>
          <w:b/>
          <w:sz w:val="20"/>
          <w:szCs w:val="20"/>
        </w:rPr>
        <w:t xml:space="preserve">Observation </w:t>
      </w:r>
      <w:r>
        <w:rPr>
          <w:b/>
          <w:sz w:val="20"/>
          <w:szCs w:val="20"/>
        </w:rPr>
        <w:t>2</w:t>
      </w:r>
      <w:r w:rsidRPr="00844CF4">
        <w:rPr>
          <w:b/>
          <w:sz w:val="20"/>
          <w:szCs w:val="20"/>
        </w:rPr>
        <w:t>:</w:t>
      </w:r>
      <w:r>
        <w:rPr>
          <w:sz w:val="20"/>
          <w:szCs w:val="20"/>
        </w:rPr>
        <w:t xml:space="preserve"> The size of a UE impacts the testing methodology, therefore there are testability considerations we should further discuss and better understand.</w:t>
      </w:r>
    </w:p>
    <w:p w:rsidR="00021B8B" w:rsidRPr="00347B6A" w:rsidRDefault="00021B8B" w:rsidP="000B5EAC">
      <w:pPr>
        <w:pStyle w:val="Heading1"/>
        <w:spacing w:before="280" w:after="120"/>
        <w:ind w:left="562" w:hanging="562"/>
        <w:rPr>
          <w:lang w:val="en-US"/>
        </w:rPr>
      </w:pPr>
      <w:r w:rsidRPr="00347B6A">
        <w:rPr>
          <w:lang w:val="en-US"/>
        </w:rPr>
        <w:t>References</w:t>
      </w:r>
    </w:p>
    <w:p w:rsidR="00ED11E7" w:rsidRDefault="00ED11E7" w:rsidP="00021B8B">
      <w:pPr>
        <w:widowControl w:val="0"/>
        <w:numPr>
          <w:ilvl w:val="0"/>
          <w:numId w:val="2"/>
        </w:numPr>
        <w:rPr>
          <w:sz w:val="20"/>
          <w:szCs w:val="20"/>
        </w:rPr>
      </w:pPr>
      <w:r>
        <w:rPr>
          <w:sz w:val="20"/>
          <w:szCs w:val="20"/>
        </w:rPr>
        <w:t>R4-1801191,”WF on Fixed wireless access use case for FR2,” Intel, Verizon, RAN4 AH-1801, January 2018</w:t>
      </w:r>
    </w:p>
    <w:p w:rsidR="00ED11E7" w:rsidRDefault="00C132BF" w:rsidP="00021B8B">
      <w:pPr>
        <w:widowControl w:val="0"/>
        <w:numPr>
          <w:ilvl w:val="0"/>
          <w:numId w:val="2"/>
        </w:numPr>
        <w:rPr>
          <w:sz w:val="20"/>
          <w:szCs w:val="20"/>
        </w:rPr>
      </w:pPr>
      <w:r>
        <w:rPr>
          <w:sz w:val="20"/>
          <w:szCs w:val="20"/>
        </w:rPr>
        <w:t>R4-1805920, “WF on FR2 FWA related requirements,” Intel, Samsung, Verizon, LGE, RAN4 #86bis, April 2018</w:t>
      </w:r>
    </w:p>
    <w:p w:rsidR="00C132BF" w:rsidRDefault="00C132BF" w:rsidP="00021B8B">
      <w:pPr>
        <w:widowControl w:val="0"/>
        <w:numPr>
          <w:ilvl w:val="0"/>
          <w:numId w:val="2"/>
        </w:numPr>
        <w:rPr>
          <w:sz w:val="20"/>
          <w:szCs w:val="20"/>
        </w:rPr>
      </w:pPr>
      <w:r>
        <w:rPr>
          <w:sz w:val="20"/>
          <w:szCs w:val="20"/>
        </w:rPr>
        <w:t>R4-1808151, “WF for finalizing FWA requirements,” Samsung, Verizon, Intel, Qualcomm, RAN4 #87, May 2018</w:t>
      </w:r>
    </w:p>
    <w:p w:rsidR="00021B8B" w:rsidRDefault="00951093" w:rsidP="00021B8B">
      <w:pPr>
        <w:widowControl w:val="0"/>
        <w:numPr>
          <w:ilvl w:val="0"/>
          <w:numId w:val="2"/>
        </w:numPr>
        <w:rPr>
          <w:sz w:val="20"/>
          <w:szCs w:val="20"/>
        </w:rPr>
      </w:pPr>
      <w:r>
        <w:rPr>
          <w:sz w:val="20"/>
          <w:szCs w:val="20"/>
        </w:rPr>
        <w:t>R4-1805926, “</w:t>
      </w:r>
      <w:r w:rsidRPr="00DB3B57">
        <w:rPr>
          <w:sz w:val="19"/>
          <w:szCs w:val="19"/>
        </w:rPr>
        <w:t>WF on How to Distinguish UE Types in FR2,” Samsung, LGE, Intel, Verizon, RAN4 #86bis, April 2018</w:t>
      </w:r>
    </w:p>
    <w:p w:rsidR="00ED11E7" w:rsidRDefault="00ED11E7" w:rsidP="00ED11E7">
      <w:pPr>
        <w:widowControl w:val="0"/>
        <w:numPr>
          <w:ilvl w:val="0"/>
          <w:numId w:val="2"/>
        </w:numPr>
        <w:rPr>
          <w:sz w:val="20"/>
          <w:szCs w:val="20"/>
        </w:rPr>
      </w:pPr>
      <w:r>
        <w:rPr>
          <w:sz w:val="20"/>
          <w:szCs w:val="20"/>
        </w:rPr>
        <w:t xml:space="preserve">R4-1814150, “CR for the definition of </w:t>
      </w:r>
      <w:proofErr w:type="spellStart"/>
      <w:r>
        <w:rPr>
          <w:sz w:val="20"/>
          <w:szCs w:val="20"/>
        </w:rPr>
        <w:t>mmWave</w:t>
      </w:r>
      <w:proofErr w:type="spellEnd"/>
      <w:r>
        <w:rPr>
          <w:sz w:val="20"/>
          <w:szCs w:val="20"/>
        </w:rPr>
        <w:t xml:space="preserve"> power class,” Sumitomo Electric, RAN4 #88bis, October 2018</w:t>
      </w:r>
    </w:p>
    <w:p w:rsidR="005E2907" w:rsidRDefault="00B40D23" w:rsidP="00021B8B">
      <w:pPr>
        <w:widowControl w:val="0"/>
        <w:numPr>
          <w:ilvl w:val="0"/>
          <w:numId w:val="2"/>
        </w:numPr>
        <w:rPr>
          <w:sz w:val="20"/>
          <w:szCs w:val="20"/>
        </w:rPr>
      </w:pPr>
      <w:r>
        <w:rPr>
          <w:sz w:val="20"/>
          <w:szCs w:val="20"/>
        </w:rPr>
        <w:t>R4-1816633, “draft CR on UE type for Power Class 2 in FR2,”</w:t>
      </w:r>
      <w:r w:rsidR="00DB3B57">
        <w:rPr>
          <w:sz w:val="20"/>
          <w:szCs w:val="20"/>
        </w:rPr>
        <w:t xml:space="preserve"> </w:t>
      </w:r>
      <w:r>
        <w:rPr>
          <w:sz w:val="20"/>
          <w:szCs w:val="20"/>
        </w:rPr>
        <w:t>LGE, SK</w:t>
      </w:r>
      <w:r w:rsidR="00DB3B57">
        <w:rPr>
          <w:sz w:val="20"/>
          <w:szCs w:val="20"/>
        </w:rPr>
        <w:t>T</w:t>
      </w:r>
      <w:r>
        <w:rPr>
          <w:sz w:val="20"/>
          <w:szCs w:val="20"/>
        </w:rPr>
        <w:t xml:space="preserve">, KT, LG </w:t>
      </w:r>
      <w:proofErr w:type="spellStart"/>
      <w:r>
        <w:rPr>
          <w:sz w:val="20"/>
          <w:szCs w:val="20"/>
        </w:rPr>
        <w:t>Uplus</w:t>
      </w:r>
      <w:proofErr w:type="spellEnd"/>
      <w:r>
        <w:rPr>
          <w:sz w:val="20"/>
          <w:szCs w:val="20"/>
        </w:rPr>
        <w:t>, Sumitomo, Industries Ltd, Verizon, NXP, Apple, Samsung, RAN4 #89, November 2018</w:t>
      </w:r>
    </w:p>
    <w:sectPr w:rsidR="005E2907" w:rsidSect="008D2E15">
      <w:headerReference w:type="even" r:id="rId8"/>
      <w:footerReference w:type="even" r:id="rId9"/>
      <w:footerReference w:type="default" r:id="rId10"/>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AF1" w:rsidRDefault="00F81AF1">
      <w:r>
        <w:separator/>
      </w:r>
    </w:p>
  </w:endnote>
  <w:endnote w:type="continuationSeparator" w:id="0">
    <w:p w:rsidR="00F81AF1" w:rsidRDefault="00F8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15" w:rsidRDefault="008D2E15" w:rsidP="008D2E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2E15" w:rsidRDefault="008D2E15" w:rsidP="008D2E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15" w:rsidRPr="00DB1239" w:rsidRDefault="008D2E15" w:rsidP="008D2E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B5EA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EA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AF1" w:rsidRDefault="00F81AF1">
      <w:r>
        <w:separator/>
      </w:r>
    </w:p>
  </w:footnote>
  <w:footnote w:type="continuationSeparator" w:id="0">
    <w:p w:rsidR="00F81AF1" w:rsidRDefault="00F81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15" w:rsidRDefault="008D2E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B8B"/>
    <w:rsid w:val="00021B8B"/>
    <w:rsid w:val="00025AE6"/>
    <w:rsid w:val="000B5EAC"/>
    <w:rsid w:val="000D2F62"/>
    <w:rsid w:val="002E124D"/>
    <w:rsid w:val="002F44ED"/>
    <w:rsid w:val="002F7DA7"/>
    <w:rsid w:val="00347B6A"/>
    <w:rsid w:val="004A3EAA"/>
    <w:rsid w:val="004F06E3"/>
    <w:rsid w:val="00557D56"/>
    <w:rsid w:val="005C5BFE"/>
    <w:rsid w:val="005E2907"/>
    <w:rsid w:val="00783551"/>
    <w:rsid w:val="007E5C9D"/>
    <w:rsid w:val="00844CF4"/>
    <w:rsid w:val="0086531A"/>
    <w:rsid w:val="008D2E15"/>
    <w:rsid w:val="00903265"/>
    <w:rsid w:val="00920086"/>
    <w:rsid w:val="009229CC"/>
    <w:rsid w:val="009437EE"/>
    <w:rsid w:val="00951093"/>
    <w:rsid w:val="00981757"/>
    <w:rsid w:val="00A8562A"/>
    <w:rsid w:val="00AC50BB"/>
    <w:rsid w:val="00B40D23"/>
    <w:rsid w:val="00BE0946"/>
    <w:rsid w:val="00C132BF"/>
    <w:rsid w:val="00CA7BFA"/>
    <w:rsid w:val="00CF6E82"/>
    <w:rsid w:val="00DA45B8"/>
    <w:rsid w:val="00DB3B57"/>
    <w:rsid w:val="00DD5DAD"/>
    <w:rsid w:val="00DF5478"/>
    <w:rsid w:val="00E14DB3"/>
    <w:rsid w:val="00E60561"/>
    <w:rsid w:val="00ED11E7"/>
    <w:rsid w:val="00F735D5"/>
    <w:rsid w:val="00F81999"/>
    <w:rsid w:val="00F81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B4CCF4-A5A9-4F80-A33A-8DD1DBB8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B8B"/>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021B8B"/>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021B8B"/>
    <w:pPr>
      <w:numPr>
        <w:ilvl w:val="1"/>
      </w:numPr>
      <w:pBdr>
        <w:top w:val="none" w:sz="0" w:space="0" w:color="auto"/>
      </w:pBdr>
      <w:tabs>
        <w:tab w:val="num" w:pos="360"/>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021B8B"/>
    <w:pPr>
      <w:numPr>
        <w:ilvl w:val="2"/>
      </w:numPr>
      <w:tabs>
        <w:tab w:val="num" w:pos="360"/>
      </w:tabs>
      <w:spacing w:before="300"/>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21B8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021B8B"/>
    <w:rPr>
      <w:rFonts w:ascii="Arial" w:eastAsia="Times New Roman" w:hAnsi="Arial" w:cs="Times New Roman"/>
      <w:sz w:val="24"/>
      <w:szCs w:val="20"/>
      <w:lang w:eastAsia="ja-JP" w:bidi="hi-IN"/>
    </w:rPr>
  </w:style>
  <w:style w:type="character" w:customStyle="1" w:styleId="Heading3Char">
    <w:name w:val="Heading 3 Char"/>
    <w:basedOn w:val="DefaultParagraphFont"/>
    <w:link w:val="Heading3"/>
    <w:rsid w:val="00021B8B"/>
    <w:rPr>
      <w:rFonts w:ascii="Arial" w:eastAsia="Times New Roman" w:hAnsi="Arial" w:cs="Times New Roman"/>
      <w:szCs w:val="20"/>
      <w:lang w:eastAsia="ja-JP" w:bidi="hi-IN"/>
    </w:rPr>
  </w:style>
  <w:style w:type="paragraph" w:styleId="Footer">
    <w:name w:val="footer"/>
    <w:basedOn w:val="Header"/>
    <w:link w:val="FooterChar"/>
    <w:uiPriority w:val="99"/>
    <w:rsid w:val="00021B8B"/>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szCs w:val="20"/>
      <w:lang w:val="x-none" w:eastAsia="x-none"/>
    </w:rPr>
  </w:style>
  <w:style w:type="character" w:customStyle="1" w:styleId="FooterChar">
    <w:name w:val="Footer Char"/>
    <w:basedOn w:val="DefaultParagraphFont"/>
    <w:link w:val="Footer"/>
    <w:uiPriority w:val="99"/>
    <w:rsid w:val="00021B8B"/>
    <w:rPr>
      <w:rFonts w:ascii="Arial" w:eastAsia="SimSun" w:hAnsi="Arial" w:cs="Times New Roman"/>
      <w:b/>
      <w:i/>
      <w:noProof/>
      <w:sz w:val="18"/>
      <w:szCs w:val="20"/>
      <w:lang w:val="x-none" w:eastAsia="x-none"/>
    </w:rPr>
  </w:style>
  <w:style w:type="character" w:styleId="PageNumber">
    <w:name w:val="page number"/>
    <w:basedOn w:val="DefaultParagraphFont"/>
    <w:rsid w:val="00021B8B"/>
  </w:style>
  <w:style w:type="character" w:customStyle="1" w:styleId="Heading1Char1">
    <w:name w:val="Heading 1 Char1"/>
    <w:link w:val="Heading1"/>
    <w:rsid w:val="00021B8B"/>
    <w:rPr>
      <w:rFonts w:ascii="Arial" w:eastAsia="SimSun" w:hAnsi="Arial" w:cs="Times New Roman"/>
      <w:sz w:val="36"/>
      <w:szCs w:val="20"/>
      <w:lang w:val="en-GB"/>
    </w:rPr>
  </w:style>
  <w:style w:type="paragraph" w:styleId="Header">
    <w:name w:val="header"/>
    <w:basedOn w:val="Normal"/>
    <w:link w:val="HeaderChar"/>
    <w:uiPriority w:val="99"/>
    <w:semiHidden/>
    <w:unhideWhenUsed/>
    <w:rsid w:val="00021B8B"/>
    <w:pPr>
      <w:tabs>
        <w:tab w:val="center" w:pos="4680"/>
        <w:tab w:val="right" w:pos="9360"/>
      </w:tabs>
    </w:pPr>
  </w:style>
  <w:style w:type="character" w:customStyle="1" w:styleId="HeaderChar">
    <w:name w:val="Header Char"/>
    <w:basedOn w:val="DefaultParagraphFont"/>
    <w:link w:val="Header"/>
    <w:uiPriority w:val="99"/>
    <w:semiHidden/>
    <w:rsid w:val="00021B8B"/>
    <w:rPr>
      <w:rFonts w:ascii="Times New Roman" w:eastAsia="Times New Roman" w:hAnsi="Times New Roman" w:cs="Times New Roman"/>
      <w:sz w:val="24"/>
      <w:szCs w:val="24"/>
    </w:rPr>
  </w:style>
  <w:style w:type="paragraph" w:customStyle="1" w:styleId="TAH">
    <w:name w:val="TAH"/>
    <w:basedOn w:val="TAC"/>
    <w:link w:val="TAHCar"/>
    <w:qFormat/>
    <w:rsid w:val="00F81999"/>
    <w:rPr>
      <w:b/>
    </w:rPr>
  </w:style>
  <w:style w:type="paragraph" w:customStyle="1" w:styleId="TAC">
    <w:name w:val="TAC"/>
    <w:basedOn w:val="Normal"/>
    <w:link w:val="TACChar"/>
    <w:qFormat/>
    <w:rsid w:val="00F81999"/>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F81999"/>
    <w:pPr>
      <w:keepNext/>
      <w:keepLines/>
      <w:spacing w:before="60" w:after="180"/>
      <w:jc w:val="center"/>
    </w:pPr>
    <w:rPr>
      <w:rFonts w:ascii="Arial" w:eastAsiaTheme="minorEastAsia" w:hAnsi="Arial"/>
      <w:b/>
      <w:sz w:val="20"/>
      <w:szCs w:val="20"/>
      <w:lang w:val="en-GB"/>
    </w:rPr>
  </w:style>
  <w:style w:type="character" w:customStyle="1" w:styleId="TACChar">
    <w:name w:val="TAC Char"/>
    <w:link w:val="TAC"/>
    <w:qFormat/>
    <w:rsid w:val="00F81999"/>
    <w:rPr>
      <w:rFonts w:ascii="Arial" w:eastAsiaTheme="minorEastAsia" w:hAnsi="Arial" w:cs="Times New Roman"/>
      <w:sz w:val="18"/>
      <w:szCs w:val="20"/>
      <w:lang w:val="en-GB"/>
    </w:rPr>
  </w:style>
  <w:style w:type="character" w:customStyle="1" w:styleId="THChar">
    <w:name w:val="TH Char"/>
    <w:link w:val="TH"/>
    <w:rsid w:val="00F81999"/>
    <w:rPr>
      <w:rFonts w:ascii="Arial" w:eastAsiaTheme="minorEastAsia" w:hAnsi="Arial" w:cs="Times New Roman"/>
      <w:b/>
      <w:sz w:val="20"/>
      <w:szCs w:val="20"/>
      <w:lang w:val="en-GB"/>
    </w:rPr>
  </w:style>
  <w:style w:type="character" w:customStyle="1" w:styleId="TAHCar">
    <w:name w:val="TAH Car"/>
    <w:link w:val="TAH"/>
    <w:qFormat/>
    <w:rsid w:val="00F81999"/>
    <w:rPr>
      <w:rFonts w:ascii="Arial" w:eastAsiaTheme="minorEastAsia" w:hAnsi="Arial" w:cs="Times New Roman"/>
      <w:b/>
      <w:sz w:val="18"/>
      <w:szCs w:val="20"/>
      <w:lang w:val="en-GB"/>
    </w:rPr>
  </w:style>
  <w:style w:type="character" w:customStyle="1" w:styleId="msoins0">
    <w:name w:val="msoins0"/>
    <w:rsid w:val="00F81999"/>
  </w:style>
  <w:style w:type="paragraph" w:styleId="BalloonText">
    <w:name w:val="Balloon Text"/>
    <w:basedOn w:val="Normal"/>
    <w:link w:val="BalloonTextChar"/>
    <w:uiPriority w:val="99"/>
    <w:semiHidden/>
    <w:unhideWhenUsed/>
    <w:rsid w:val="00DB3B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5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1025</Words>
  <Characters>5000</Characters>
  <Application>Microsoft Office Word</Application>
  <DocSecurity>0</DocSecurity>
  <Lines>89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4</cp:revision>
  <dcterms:created xsi:type="dcterms:W3CDTF">2019-05-03T22:03:00Z</dcterms:created>
  <dcterms:modified xsi:type="dcterms:W3CDTF">2019-05-03T22:40:00Z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69afc5e9-f002-40fe-a9ba-8b82934c7813</vt:lpwstr>
  </property>
  <property fmtid="{D5CDD505-2E9C-101B-9397-08002B2CF9AE}" pid="3" name="CTP_TimeStamp">
    <vt:lpwstr>2019-05-03 22:40:40Z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